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62" w:rsidRPr="00676762" w:rsidRDefault="00676762" w:rsidP="00676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bookmarkStart w:id="0" w:name="_GoBack"/>
      <w:bookmarkEnd w:id="0"/>
      <w:r w:rsidRPr="00676762">
        <w:rPr>
          <w:rFonts w:ascii="Arial" w:hAnsi="Arial" w:cs="Arial"/>
          <w:b/>
          <w:bCs/>
          <w:sz w:val="28"/>
          <w:szCs w:val="28"/>
          <w:lang w:val="es-MX"/>
        </w:rPr>
        <w:t>Sección 110-41 nueva</w:t>
      </w:r>
    </w:p>
    <w:p w:rsidR="00676762" w:rsidRPr="00676762" w:rsidRDefault="00676762" w:rsidP="006767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ewBaskervilleStd-Bold" w:hAnsi="Arial" w:cs="Arial"/>
          <w:b/>
          <w:bCs/>
          <w:sz w:val="24"/>
          <w:szCs w:val="24"/>
          <w:lang w:val="es-MX"/>
        </w:rPr>
      </w:pPr>
      <w:r w:rsidRPr="00676762">
        <w:rPr>
          <w:rFonts w:ascii="Arial" w:hAnsi="Arial" w:cs="Arial"/>
          <w:b/>
          <w:bCs/>
          <w:sz w:val="24"/>
          <w:szCs w:val="24"/>
          <w:lang w:val="es-MX"/>
        </w:rPr>
        <w:t>Parte C. Más de 1000 volts nominales</w:t>
      </w:r>
    </w:p>
    <w:p w:rsidR="00676762" w:rsidRPr="00676762" w:rsidRDefault="00676762" w:rsidP="00676762">
      <w:pPr>
        <w:pStyle w:val="Default"/>
        <w:jc w:val="both"/>
        <w:rPr>
          <w:lang w:val="es-MX"/>
        </w:rPr>
      </w:pPr>
      <w:r w:rsidRPr="00676762">
        <w:rPr>
          <w:b/>
          <w:bCs/>
          <w:lang w:val="es-MX"/>
        </w:rPr>
        <w:t xml:space="preserve">110-41. Inspecciones y pruebas. </w:t>
      </w:r>
    </w:p>
    <w:p w:rsidR="00676762" w:rsidRPr="00676762" w:rsidRDefault="00676762" w:rsidP="00676762">
      <w:pPr>
        <w:pStyle w:val="Default"/>
        <w:jc w:val="both"/>
        <w:rPr>
          <w:lang w:val="es-MX"/>
        </w:rPr>
      </w:pPr>
      <w:r w:rsidRPr="00676762">
        <w:rPr>
          <w:b/>
          <w:bCs/>
          <w:lang w:val="es-MX"/>
        </w:rPr>
        <w:t xml:space="preserve">a) Pruebas preoperacionales y de puesta en servicio. </w:t>
      </w:r>
      <w:r w:rsidRPr="00676762">
        <w:rPr>
          <w:lang w:val="es-MX"/>
        </w:rPr>
        <w:t xml:space="preserve">Cuando se requiera en otras partes de esta NOM, el diseño del sistema eléctrico completo, incluyendo los ajustes de los circuitos de protección, conmutación y control, deben prepararse con antelación y estar disponibles de la autoridad competente y debe probarse cuando se instale por primera vez en el sitio. </w:t>
      </w:r>
    </w:p>
    <w:p w:rsidR="00676762" w:rsidRDefault="00676762" w:rsidP="00676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76762">
        <w:rPr>
          <w:rFonts w:ascii="Arial" w:hAnsi="Arial" w:cs="Arial"/>
          <w:b/>
          <w:bCs/>
          <w:sz w:val="24"/>
          <w:szCs w:val="24"/>
          <w:lang w:val="es-MX"/>
        </w:rPr>
        <w:t xml:space="preserve">b) Informe de Pruebas. </w:t>
      </w:r>
      <w:r w:rsidRPr="00676762">
        <w:rPr>
          <w:rFonts w:ascii="Arial" w:hAnsi="Arial" w:cs="Arial"/>
          <w:sz w:val="24"/>
          <w:szCs w:val="24"/>
          <w:lang w:val="es-MX"/>
        </w:rPr>
        <w:t>Un informe de las pruebas preoperacionales debe estar disponible para la autoridad competente antes de la energización y a disposición de los autorizados a instalar, operar, probar y mantener el sistema.</w:t>
      </w:r>
    </w:p>
    <w:p w:rsidR="00676762" w:rsidRDefault="00676762" w:rsidP="00676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282D" w:rsidRDefault="00676762" w:rsidP="00676762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>Inspecciones y Pruebas. Las pruebas de aceptación son de igual importancia, quizás incluso más importantes para aplicaciones en interiores que para instalaciones en exteriores. Esta secc</w:t>
      </w:r>
      <w:r w:rsidR="0034282D">
        <w:rPr>
          <w:rStyle w:val="tlid-translation"/>
          <w:lang w:val="es-ES"/>
        </w:rPr>
        <w:t>ión, nueva a partir de la NOM-001-SEDE-20</w:t>
      </w:r>
      <w:r w:rsidR="00C40696">
        <w:rPr>
          <w:rStyle w:val="tlid-translation"/>
          <w:lang w:val="es-ES"/>
        </w:rPr>
        <w:t>1</w:t>
      </w:r>
      <w:r w:rsidR="0034282D">
        <w:rPr>
          <w:rStyle w:val="tlid-translation"/>
          <w:lang w:val="es-ES"/>
        </w:rPr>
        <w:t>8 PROYECTO</w:t>
      </w:r>
      <w:r>
        <w:rPr>
          <w:rStyle w:val="tlid-translation"/>
          <w:lang w:val="es-ES"/>
        </w:rPr>
        <w:t>, cr</w:t>
      </w:r>
      <w:r w:rsidR="0034282D">
        <w:rPr>
          <w:rStyle w:val="tlid-translation"/>
          <w:lang w:val="es-ES"/>
        </w:rPr>
        <w:t>ea una base para que el VERIFICADOR</w:t>
      </w:r>
      <w:r>
        <w:rPr>
          <w:rStyle w:val="tlid-translation"/>
          <w:lang w:val="es-ES"/>
        </w:rPr>
        <w:t xml:space="preserve"> solicite y luego revise dichas pruebas. </w:t>
      </w:r>
    </w:p>
    <w:p w:rsidR="00676762" w:rsidRDefault="0034282D" w:rsidP="00676762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 xml:space="preserve">COMENTARIO: </w:t>
      </w:r>
      <w:r w:rsidR="00676762">
        <w:rPr>
          <w:rStyle w:val="tlid-translation"/>
          <w:lang w:val="es-ES"/>
        </w:rPr>
        <w:t>La inspiración para esta sección provino de la Parte III (media tensión) del A</w:t>
      </w:r>
      <w:r>
        <w:rPr>
          <w:rStyle w:val="tlid-translation"/>
          <w:lang w:val="es-ES"/>
        </w:rPr>
        <w:t>rtículo 225, principalmente 225-</w:t>
      </w:r>
      <w:r w:rsidR="00676762">
        <w:rPr>
          <w:rStyle w:val="tlid-translation"/>
          <w:lang w:val="es-ES"/>
        </w:rPr>
        <w:t xml:space="preserve">56. </w:t>
      </w:r>
      <w:r w:rsidR="00C40696">
        <w:rPr>
          <w:rStyle w:val="tlid-translation"/>
          <w:lang w:val="es-ES"/>
        </w:rPr>
        <w:t xml:space="preserve">NEC 2014 Y NEC 2017, </w:t>
      </w:r>
      <w:r>
        <w:rPr>
          <w:rStyle w:val="tlid-translation"/>
          <w:lang w:val="es-ES"/>
        </w:rPr>
        <w:t xml:space="preserve">SECCION QUE NO APARECE EN LA NOM-001-SEDE-2018. </w:t>
      </w:r>
    </w:p>
    <w:p w:rsidR="0034282D" w:rsidRDefault="0034282D" w:rsidP="00676762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>ESTE ARTICULO LO MENCIONO EN EL PARRAFO POSTERIOR, EN EL CUAL SE PUEDE VER que la sección 110-41 es una copia de 225-56 a) y b).</w:t>
      </w:r>
    </w:p>
    <w:p w:rsidR="0034282D" w:rsidRDefault="0034282D" w:rsidP="00676762">
      <w:pPr>
        <w:autoSpaceDE w:val="0"/>
        <w:autoSpaceDN w:val="0"/>
        <w:adjustRightInd w:val="0"/>
        <w:spacing w:after="0" w:line="240" w:lineRule="auto"/>
        <w:jc w:val="both"/>
        <w:rPr>
          <w:rFonts w:ascii="NewBaskervilleStd-Roman" w:eastAsia="NewBaskervilleStd-Roman" w:cs="NewBaskervilleStd-Roman"/>
          <w:sz w:val="16"/>
          <w:szCs w:val="16"/>
          <w:lang w:val="es-MX"/>
        </w:rPr>
      </w:pPr>
      <w:r w:rsidRPr="00C40696">
        <w:rPr>
          <w:rFonts w:ascii="NewBaskervilleStd-Roman" w:eastAsia="NewBaskervilleStd-Roman" w:cs="NewBaskervilleStd-Roman"/>
          <w:b/>
          <w:sz w:val="16"/>
          <w:szCs w:val="16"/>
          <w:lang w:val="es-MX"/>
        </w:rPr>
        <w:t>Nota Informativa</w:t>
      </w:r>
      <w:r>
        <w:rPr>
          <w:rFonts w:ascii="NewBaskervilleStd-Roman" w:eastAsia="NewBaskervilleStd-Roman" w:cs="NewBaskervilleStd-Roman"/>
          <w:sz w:val="16"/>
          <w:szCs w:val="16"/>
          <w:lang w:val="es-MX"/>
        </w:rPr>
        <w:t xml:space="preserve">: </w:t>
      </w:r>
      <w:r w:rsidRPr="003B5763">
        <w:rPr>
          <w:rFonts w:ascii="NewBaskervilleStd-Roman" w:eastAsia="NewBaskervilleStd-Roman" w:cs="NewBaskervilleStd-Roman"/>
          <w:b/>
          <w:color w:val="00B0F0"/>
          <w:sz w:val="16"/>
          <w:szCs w:val="16"/>
          <w:u w:val="single"/>
          <w:lang w:val="es-MX"/>
        </w:rPr>
        <w:t>Para acceder a un ejemplo de especificaciones de aceptaci</w:t>
      </w:r>
      <w:r w:rsidRPr="003B5763">
        <w:rPr>
          <w:rFonts w:ascii="NewBaskervilleStd-Roman" w:eastAsia="NewBaskervilleStd-Roman" w:cs="NewBaskervilleStd-Roman"/>
          <w:b/>
          <w:color w:val="00B0F0"/>
          <w:sz w:val="16"/>
          <w:szCs w:val="16"/>
          <w:u w:val="single"/>
          <w:lang w:val="es-MX"/>
        </w:rPr>
        <w:t>ó</w:t>
      </w:r>
      <w:r w:rsidRPr="003B5763">
        <w:rPr>
          <w:rFonts w:ascii="NewBaskervilleStd-Roman" w:eastAsia="NewBaskervilleStd-Roman" w:cs="NewBaskervilleStd-Roman"/>
          <w:b/>
          <w:color w:val="00B0F0"/>
          <w:sz w:val="16"/>
          <w:szCs w:val="16"/>
          <w:u w:val="single"/>
          <w:lang w:val="es-MX"/>
        </w:rPr>
        <w:t>n</w:t>
      </w:r>
      <w:r>
        <w:rPr>
          <w:rFonts w:ascii="NewBaskervilleStd-Roman" w:eastAsia="NewBaskervilleStd-Roman" w:cs="NewBaskervilleStd-Roman"/>
          <w:sz w:val="16"/>
          <w:szCs w:val="16"/>
          <w:lang w:val="es-MX"/>
        </w:rPr>
        <w:t xml:space="preserve">, ver </w:t>
      </w:r>
      <w:r w:rsidRPr="0034282D">
        <w:rPr>
          <w:rFonts w:ascii="FuturaT-Book" w:hAnsi="FuturaT-Book" w:cs="FuturaT-Book"/>
          <w:color w:val="6CB445"/>
          <w:sz w:val="24"/>
          <w:szCs w:val="24"/>
          <w:lang w:val="es-MX"/>
        </w:rPr>
        <w:t>ANSI/NETA ATS-2017</w:t>
      </w:r>
      <w:r w:rsidRPr="00D92745">
        <w:rPr>
          <w:rFonts w:ascii="NewBaskervilleStd-Roman" w:eastAsia="NewBaskervilleStd-Roman" w:cs="NewBaskervilleStd-Roman"/>
          <w:sz w:val="16"/>
          <w:szCs w:val="16"/>
          <w:lang w:val="es-MX"/>
        </w:rPr>
        <w:t xml:space="preserve">, 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Especificaciones de las pruebas</w:t>
      </w:r>
      <w:r w:rsidRPr="0034282D">
        <w:rPr>
          <w:rFonts w:ascii="NewBaskervilleStd-Roman" w:eastAsia="NewBaskervilleStd-Roman" w:cs="NewBaskervilleStd-Roman"/>
          <w:color w:val="FF0000"/>
          <w:sz w:val="16"/>
          <w:szCs w:val="16"/>
          <w:lang w:val="es-MX"/>
        </w:rPr>
        <w:t xml:space="preserve"> 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de aceptaci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ó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n para equipos y sistemas de distribuci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ó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n de energ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í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a el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é</w:t>
      </w:r>
      <w:r w:rsidRPr="0034282D">
        <w:rPr>
          <w:rFonts w:ascii="NewBaskervilleStd-Italic" w:eastAsia="NewBaskervilleStd-Italic" w:cs="NewBaskervilleStd-Italic"/>
          <w:i/>
          <w:iCs/>
          <w:color w:val="FF0000"/>
          <w:sz w:val="16"/>
          <w:szCs w:val="16"/>
          <w:lang w:val="es-MX"/>
        </w:rPr>
        <w:t>ctrica</w:t>
      </w:r>
      <w:r>
        <w:rPr>
          <w:rFonts w:ascii="NewBaskervilleStd-Roman" w:eastAsia="NewBaskervilleStd-Roman" w:cs="NewBaskervilleStd-Roman"/>
          <w:sz w:val="16"/>
          <w:szCs w:val="16"/>
          <w:lang w:val="es-MX"/>
        </w:rPr>
        <w:t>,</w:t>
      </w:r>
      <w:r w:rsidRPr="0034282D">
        <w:rPr>
          <w:rFonts w:ascii="NewBaskervilleStd-Roman" w:eastAsia="NewBaskervilleStd-Roman" w:cs="NewBaskervilleStd-Roman"/>
          <w:sz w:val="16"/>
          <w:szCs w:val="16"/>
          <w:lang w:val="es-MX"/>
        </w:rPr>
        <w:t xml:space="preserve"> </w:t>
      </w:r>
      <w:r w:rsidRPr="00676762">
        <w:rPr>
          <w:rFonts w:ascii="NewBaskervilleStd-Roman" w:eastAsia="NewBaskervilleStd-Roman" w:cs="NewBaskervilleStd-Roman"/>
          <w:sz w:val="16"/>
          <w:szCs w:val="16"/>
          <w:lang w:val="es-MX"/>
        </w:rPr>
        <w:t>publicada por la International El</w:t>
      </w:r>
      <w:r>
        <w:rPr>
          <w:rFonts w:ascii="NewBaskervilleStd-Roman" w:eastAsia="NewBaskervilleStd-Roman" w:cs="NewBaskervilleStd-Roman"/>
          <w:sz w:val="16"/>
          <w:szCs w:val="16"/>
          <w:lang w:val="es-MX"/>
        </w:rPr>
        <w:t xml:space="preserve">ectrical Testing Association </w:t>
      </w:r>
      <w:r w:rsidRPr="00D92745">
        <w:rPr>
          <w:rFonts w:ascii="NewBaskervilleStd-Roman" w:eastAsia="NewBaskervilleStd-Roman" w:cs="NewBaskervilleStd-Roman"/>
          <w:sz w:val="16"/>
          <w:szCs w:val="16"/>
          <w:lang w:val="es-MX"/>
        </w:rPr>
        <w:t>(Asociaci</w:t>
      </w:r>
      <w:r w:rsidRPr="00D92745">
        <w:rPr>
          <w:rFonts w:ascii="NewBaskervilleStd-Roman" w:eastAsia="NewBaskervilleStd-Roman" w:cs="NewBaskervilleStd-Roman"/>
          <w:sz w:val="16"/>
          <w:szCs w:val="16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6"/>
          <w:szCs w:val="16"/>
          <w:lang w:val="es-MX"/>
        </w:rPr>
        <w:t>n Internacional de Pruebas El</w:t>
      </w:r>
      <w:r w:rsidRPr="00D92745">
        <w:rPr>
          <w:rFonts w:ascii="NewBaskervilleStd-Roman" w:eastAsia="NewBaskervilleStd-Roman" w:cs="NewBaskervilleStd-Roman"/>
          <w:sz w:val="16"/>
          <w:szCs w:val="16"/>
          <w:lang w:val="es-MX"/>
        </w:rPr>
        <w:t>é</w:t>
      </w:r>
      <w:r w:rsidRPr="00D92745">
        <w:rPr>
          <w:rFonts w:ascii="NewBaskervilleStd-Roman" w:eastAsia="NewBaskervilleStd-Roman" w:cs="NewBaskervilleStd-Roman"/>
          <w:sz w:val="16"/>
          <w:szCs w:val="16"/>
          <w:lang w:val="es-MX"/>
        </w:rPr>
        <w:t>ctricas).</w:t>
      </w:r>
    </w:p>
    <w:p w:rsidR="00C40696" w:rsidRPr="00C40696" w:rsidRDefault="00C40696" w:rsidP="00676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696">
        <w:rPr>
          <w:rFonts w:ascii="NewBaskervilleStd-Roman" w:eastAsia="NewBaskervilleStd-Roman" w:cs="NewBaskervilleStd-Roman"/>
          <w:sz w:val="16"/>
          <w:szCs w:val="16"/>
        </w:rPr>
        <w:t>ANEXO STANDARD FOR ACCEPTANCE TESTING SPECIFICATIONS</w:t>
      </w:r>
      <w:r>
        <w:rPr>
          <w:rFonts w:ascii="NewBaskervilleStd-Roman" w:eastAsia="NewBaskervilleStd-Roman" w:cs="NewBaskervilleStd-Roman"/>
          <w:sz w:val="16"/>
          <w:szCs w:val="16"/>
        </w:rPr>
        <w:t>,</w:t>
      </w:r>
      <w:r w:rsidRPr="00C40696">
        <w:t xml:space="preserve"> </w:t>
      </w:r>
      <w:r w:rsidRPr="00C40696">
        <w:rPr>
          <w:rFonts w:ascii="NewBaskervilleStd-Roman" w:eastAsia="NewBaskervilleStd-Roman" w:cs="NewBaskervilleStd-Roman"/>
          <w:sz w:val="16"/>
          <w:szCs w:val="16"/>
        </w:rPr>
        <w:t>FOR ELECTRICAL POWER EQUIPMENT &amp; SYSTEMS</w:t>
      </w:r>
      <w:r>
        <w:rPr>
          <w:rFonts w:ascii="NewBaskervilleStd-Roman" w:eastAsia="NewBaskervilleStd-Roman" w:cs="NewBaskervilleStd-Roman"/>
          <w:sz w:val="16"/>
          <w:szCs w:val="16"/>
        </w:rPr>
        <w:t>, 2017 NETA</w:t>
      </w:r>
    </w:p>
    <w:p w:rsidR="00676762" w:rsidRPr="00C40696" w:rsidRDefault="00676762" w:rsidP="00676762">
      <w:pPr>
        <w:autoSpaceDE w:val="0"/>
        <w:autoSpaceDN w:val="0"/>
        <w:adjustRightInd w:val="0"/>
        <w:spacing w:after="0" w:line="240" w:lineRule="auto"/>
        <w:rPr>
          <w:rFonts w:ascii="NewBaskervilleStd-Bold" w:eastAsia="NewBaskervilleStd-Bold" w:cs="NewBaskervilleStd-Bold"/>
          <w:b/>
          <w:bCs/>
          <w:sz w:val="18"/>
          <w:szCs w:val="18"/>
        </w:rPr>
      </w:pPr>
    </w:p>
    <w:p w:rsidR="00D92745" w:rsidRPr="00C40696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Bold" w:eastAsia="NewBaskervilleStd-Bold" w:cs="NewBaskervilleStd-Bold"/>
          <w:b/>
          <w:bCs/>
          <w:sz w:val="18"/>
          <w:szCs w:val="18"/>
        </w:rPr>
      </w:pPr>
      <w:r w:rsidRPr="00C40696">
        <w:rPr>
          <w:rFonts w:ascii="NewBaskervilleStd-Bold" w:eastAsia="NewBaskervilleStd-Bold" w:cs="NewBaskervilleStd-Bold"/>
          <w:b/>
          <w:bCs/>
          <w:sz w:val="18"/>
          <w:szCs w:val="18"/>
        </w:rPr>
        <w:t>225.56 Inspecciones y Pruebas</w:t>
      </w:r>
    </w:p>
    <w:p w:rsidR="00D92745" w:rsidRPr="0034282D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</w:pPr>
      <w:r w:rsidRPr="0034282D">
        <w:rPr>
          <w:rFonts w:ascii="NewBaskervilleStd-Bold" w:eastAsia="NewBaskervilleStd-Bold" w:cs="NewBaskervilleStd-Bold"/>
          <w:b/>
          <w:bCs/>
          <w:color w:val="00B0F0"/>
          <w:sz w:val="18"/>
          <w:szCs w:val="18"/>
          <w:lang w:val="es-MX"/>
        </w:rPr>
        <w:t>(A) Pruebas de operaci</w:t>
      </w:r>
      <w:r w:rsidRPr="0034282D">
        <w:rPr>
          <w:rFonts w:ascii="NewBaskervilleStd-Bold" w:eastAsia="NewBaskervilleStd-Bold" w:cs="NewBaskervilleStd-Bold"/>
          <w:b/>
          <w:bCs/>
          <w:color w:val="00B0F0"/>
          <w:sz w:val="18"/>
          <w:szCs w:val="18"/>
          <w:lang w:val="es-MX"/>
        </w:rPr>
        <w:t>ó</w:t>
      </w:r>
      <w:r w:rsidRPr="0034282D">
        <w:rPr>
          <w:rFonts w:ascii="NewBaskervilleStd-Bold" w:eastAsia="NewBaskervilleStd-Bold" w:cs="NewBaskervilleStd-Bold"/>
          <w:b/>
          <w:bCs/>
          <w:color w:val="00B0F0"/>
          <w:sz w:val="18"/>
          <w:szCs w:val="18"/>
          <w:lang w:val="es-MX"/>
        </w:rPr>
        <w:t>n y pre-energizaci</w:t>
      </w:r>
      <w:r w:rsidRPr="0034282D">
        <w:rPr>
          <w:rFonts w:ascii="NewBaskervilleStd-Bold" w:eastAsia="NewBaskervilleStd-Bold" w:cs="NewBaskervilleStd-Bold"/>
          <w:b/>
          <w:bCs/>
          <w:color w:val="00B0F0"/>
          <w:sz w:val="18"/>
          <w:szCs w:val="18"/>
          <w:lang w:val="es-MX"/>
        </w:rPr>
        <w:t>ó</w:t>
      </w:r>
      <w:r w:rsidRPr="0034282D">
        <w:rPr>
          <w:rFonts w:ascii="NewBaskervilleStd-Bold" w:eastAsia="NewBaskervilleStd-Bold" w:cs="NewBaskervilleStd-Bold"/>
          <w:b/>
          <w:bCs/>
          <w:color w:val="00B0F0"/>
          <w:sz w:val="18"/>
          <w:szCs w:val="18"/>
          <w:lang w:val="es-MX"/>
        </w:rPr>
        <w:t xml:space="preserve">n. 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El dise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ñ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o del sistema el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é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ctrico completo, incluidas las configuraciones para los circuitos de 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protecci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ó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, 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interrupci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ó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 y control, debe ser preparado con 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anticipaci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ó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 y debe estar disponible al momento de ser solicitado por la autoridad competente y su</w:t>
      </w:r>
    </w:p>
    <w:p w:rsidR="00D92745" w:rsidRPr="0034282D" w:rsidRDefault="00676762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</w:pP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desempe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ñ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o</w:t>
      </w:r>
      <w:r w:rsidR="00D92745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 debe ser sometido a prueba al ser instalado por primera vez en sitio. Cada circuito de 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protecci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ó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</w:t>
      </w:r>
      <w:r w:rsidR="00D92745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, de 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interrupci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ó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</w:t>
      </w:r>
      <w:r w:rsidR="00D92745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 y de control debe ser ajustado de acuerdo con lo establecido en el 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dise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ñ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o</w:t>
      </w:r>
      <w:r w:rsidR="00D92745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 del sistema y debe ser sometido a prueba por funcionamiento real con el uso de 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inyecci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ó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</w:t>
      </w:r>
      <w:r w:rsidR="00D92745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 de corriente o</w:t>
      </w:r>
    </w:p>
    <w:p w:rsidR="00D92745" w:rsidRPr="0034282D" w:rsidRDefault="00676762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</w:pP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m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é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todos</w:t>
      </w:r>
      <w:r w:rsidR="00D92745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 equivalentes, 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seg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ú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</w:t>
      </w:r>
      <w:r w:rsidR="00D92745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 sea necesario para asegurar que cada circuito funcione correctamente, a 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satisfacci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ó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</w:t>
      </w:r>
      <w:r w:rsidR="00D92745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 de la autoridad competente.</w:t>
      </w:r>
    </w:p>
    <w:p w:rsidR="00D92745" w:rsidRPr="00D92745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sz w:val="18"/>
          <w:szCs w:val="18"/>
          <w:lang w:val="es-MX"/>
        </w:rPr>
      </w:pP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(1) Transformadores para instrumentos. 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Se deben probar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todos los transformadores para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instrumentos para verificar la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correcta polaridad y carga.</w:t>
      </w:r>
    </w:p>
    <w:p w:rsidR="00D92745" w:rsidRPr="00D92745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sz w:val="18"/>
          <w:szCs w:val="18"/>
          <w:lang w:val="es-MX"/>
        </w:rPr>
      </w:pP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(2) 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Rel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é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s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 de 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protecci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ó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n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.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Se 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debe demostrar que cada 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rel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é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de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protecci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opera inyectando corriente o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tensi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, o ambos, a la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terminal de salida del 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transformador para instrumentos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asociado y observando que las func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iones asociadas de 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interrupci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y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se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ñ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alizaci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ocurren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correctamente y en el tiempo y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secuencia adecuados para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dese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mpe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ñ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ar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la 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funci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de 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protecci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esperada.</w:t>
      </w:r>
    </w:p>
    <w:p w:rsidR="00D92745" w:rsidRPr="00D92745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sz w:val="18"/>
          <w:szCs w:val="18"/>
          <w:lang w:val="es-MX"/>
        </w:rPr>
      </w:pP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(3) Circuitos de Interrupci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ó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n. 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Se debe observar que cada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circuito de interrupci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opere el equipo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asociado que es interrumpido.</w:t>
      </w:r>
    </w:p>
    <w:p w:rsidR="00D92745" w:rsidRPr="00D92745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sz w:val="18"/>
          <w:szCs w:val="18"/>
          <w:lang w:val="es-MX"/>
        </w:rPr>
      </w:pP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(4) Circuitos de control y se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ñ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alizaci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ó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n. 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Se debe observar que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cada circuito de control o se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ñ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alizaci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 desempe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ñ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e su propi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a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funci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 de control o produzca una correcta salida de se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ñ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alizaci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n.</w:t>
      </w:r>
    </w:p>
    <w:p w:rsidR="00D92745" w:rsidRPr="00D92745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sz w:val="18"/>
          <w:szCs w:val="18"/>
          <w:lang w:val="es-MX"/>
        </w:rPr>
      </w:pP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(5) Circuitos de medici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ó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n. 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Debe verificarse que todos los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circuitos de medici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 fu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ncionen correctamente desde las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fuentes de tensi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 y corriente, d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e forma similar a los circuitos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de los rel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é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s de protecci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n.</w:t>
      </w:r>
    </w:p>
    <w:p w:rsidR="00D92745" w:rsidRPr="00D92745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sz w:val="18"/>
          <w:szCs w:val="18"/>
          <w:lang w:val="es-MX"/>
        </w:rPr>
      </w:pP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(6) Pruebas de aceptaci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ó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n.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Una vez completada la instalaci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de la subestaci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n, se deben lle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var a cabo pruebas completas de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aceptaci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 en todos los ensambles, equipos, conductores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y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sistemas de control y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protecci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,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seg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ú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corresponda,</w:t>
      </w:r>
      <w:r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para verificar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la integridad de todos los sistemas.</w:t>
      </w:r>
    </w:p>
    <w:p w:rsidR="00D92745" w:rsidRPr="00D92745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</w:pP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(7) 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Rel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é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s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 y equipos de </w:t>
      </w:r>
      <w:r w:rsidR="00676762"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medic</w:t>
      </w:r>
      <w:r w:rsidR="00676762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i</w:t>
      </w:r>
      <w:r w:rsidR="00676762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ó</w:t>
      </w:r>
      <w:r w:rsidR="00676762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>n</w:t>
      </w:r>
      <w:r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 que utilizan diferencias de </w:t>
      </w:r>
      <w:r w:rsidRPr="00D92745"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fase.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Se deben verificar todos los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rel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é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s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y equipos de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medici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 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que utilizan diferencias de fase para la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operaci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midiendo los</w:t>
      </w:r>
      <w:r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á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ngulos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de fase en el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rel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é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bajo condiciones reales de carga</w:t>
      </w:r>
      <w:r>
        <w:rPr>
          <w:rFonts w:ascii="NewBaskervilleStd-Bold" w:eastAsia="NewBaskervilleStd-Bold" w:cs="NewBaskervilleStd-Bold"/>
          <w:b/>
          <w:bCs/>
          <w:sz w:val="18"/>
          <w:szCs w:val="18"/>
          <w:lang w:val="es-MX"/>
        </w:rPr>
        <w:t xml:space="preserve">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despu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é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s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 xml:space="preserve"> de que comience la 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operaci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ó</w:t>
      </w:r>
      <w:r w:rsidR="00676762"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n</w:t>
      </w:r>
      <w:r w:rsidRPr="00D92745">
        <w:rPr>
          <w:rFonts w:ascii="NewBaskervilleStd-Roman" w:eastAsia="NewBaskervilleStd-Roman" w:cs="NewBaskervilleStd-Roman"/>
          <w:sz w:val="18"/>
          <w:szCs w:val="18"/>
          <w:lang w:val="es-MX"/>
        </w:rPr>
        <w:t>.</w:t>
      </w:r>
    </w:p>
    <w:p w:rsidR="00D92745" w:rsidRDefault="00D92745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</w:pPr>
      <w:r w:rsidRPr="0034282D">
        <w:rPr>
          <w:rFonts w:ascii="NewBaskervilleStd-Bold" w:eastAsia="NewBaskervilleStd-Bold" w:cs="NewBaskervilleStd-Bold"/>
          <w:b/>
          <w:bCs/>
          <w:color w:val="00B0F0"/>
          <w:sz w:val="18"/>
          <w:szCs w:val="18"/>
          <w:lang w:val="es-MX"/>
        </w:rPr>
        <w:lastRenderedPageBreak/>
        <w:t xml:space="preserve">(B) Informe de Pruebas. 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 xml:space="preserve">Antes de la 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energizaci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ó</w:t>
      </w:r>
      <w:r w:rsidR="00676762"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, se debe entregar a la autoridad competente un informe de pruebas que cubra los resultados de las pruebas requeridas en la secci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ó</w:t>
      </w:r>
      <w:r w:rsidRPr="0034282D"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  <w:t>n 225.56(A).</w:t>
      </w:r>
    </w:p>
    <w:p w:rsidR="00C40696" w:rsidRDefault="00C40696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</w:pPr>
    </w:p>
    <w:p w:rsidR="00C40696" w:rsidRPr="0034282D" w:rsidRDefault="00C40696" w:rsidP="00D92745">
      <w:pPr>
        <w:autoSpaceDE w:val="0"/>
        <w:autoSpaceDN w:val="0"/>
        <w:adjustRightInd w:val="0"/>
        <w:spacing w:after="0" w:line="240" w:lineRule="auto"/>
        <w:rPr>
          <w:rFonts w:ascii="NewBaskervilleStd-Roman" w:eastAsia="NewBaskervilleStd-Roman" w:cs="NewBaskervilleStd-Roman"/>
          <w:b/>
          <w:color w:val="00B0F0"/>
          <w:sz w:val="18"/>
          <w:szCs w:val="18"/>
          <w:lang w:val="es-MX"/>
        </w:rPr>
      </w:pPr>
    </w:p>
    <w:sectPr w:rsidR="00C40696" w:rsidRPr="00342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Std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ewBaskervilleStd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Futura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BaskervilleStd-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45"/>
    <w:rsid w:val="0034282D"/>
    <w:rsid w:val="003B5763"/>
    <w:rsid w:val="00676762"/>
    <w:rsid w:val="009A52FE"/>
    <w:rsid w:val="00A840C9"/>
    <w:rsid w:val="00C40696"/>
    <w:rsid w:val="00D92745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60734-A56D-4384-AD21-5D79DAE4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6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Fuentedeprrafopredeter"/>
    <w:rsid w:val="0067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ortiz</dc:creator>
  <cp:keywords/>
  <dc:description/>
  <cp:lastModifiedBy>Jose Luis</cp:lastModifiedBy>
  <cp:revision>2</cp:revision>
  <dcterms:created xsi:type="dcterms:W3CDTF">2020-01-23T04:14:00Z</dcterms:created>
  <dcterms:modified xsi:type="dcterms:W3CDTF">2020-01-23T04:14:00Z</dcterms:modified>
</cp:coreProperties>
</file>