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650" w:rsidRPr="00B16A98" w:rsidRDefault="008D7650" w:rsidP="008D765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B16A98">
        <w:rPr>
          <w:rFonts w:ascii="Arial" w:hAnsi="Arial" w:cs="Arial"/>
          <w:b/>
          <w:sz w:val="28"/>
          <w:szCs w:val="28"/>
        </w:rPr>
        <w:t>ARTICULO 200</w:t>
      </w:r>
    </w:p>
    <w:p w:rsidR="008D7650" w:rsidRDefault="008D7650" w:rsidP="008D765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16A98">
        <w:rPr>
          <w:rFonts w:ascii="Arial" w:hAnsi="Arial" w:cs="Arial"/>
          <w:b/>
          <w:sz w:val="28"/>
          <w:szCs w:val="28"/>
        </w:rPr>
        <w:t xml:space="preserve"> Uso e identificación de conductores puestos a tierra</w:t>
      </w:r>
    </w:p>
    <w:p w:rsidR="008D7650" w:rsidRPr="00B16A98" w:rsidRDefault="008D7650" w:rsidP="008D765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8D7650" w:rsidRPr="001163B1" w:rsidRDefault="008D7650" w:rsidP="008D7650">
      <w:pPr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t>Este artículo contiene los requisitos para la identificación del conductor de protección y sus terminales.</w:t>
      </w:r>
    </w:p>
    <w:p w:rsidR="008D7650" w:rsidRPr="001163B1" w:rsidRDefault="008D7650" w:rsidP="008D765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t>Identificación de las terminales</w:t>
      </w:r>
    </w:p>
    <w:p w:rsidR="008D7650" w:rsidRPr="001163B1" w:rsidRDefault="008D7650" w:rsidP="008D765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t xml:space="preserve">Conductores puestos a tierra en el sistema de alambrado de las edificaciones </w:t>
      </w:r>
    </w:p>
    <w:p w:rsidR="008D7650" w:rsidRPr="001163B1" w:rsidRDefault="008D7650" w:rsidP="008D765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t>Identificación de los conductores puestos a tierra.</w:t>
      </w:r>
    </w:p>
    <w:p w:rsidR="008D7650" w:rsidRPr="001163B1" w:rsidRDefault="008D7650" w:rsidP="008D7650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1163B1">
        <w:rPr>
          <w:rFonts w:ascii="Arial" w:hAnsi="Arial" w:cs="Arial"/>
          <w:b/>
          <w:i/>
          <w:sz w:val="24"/>
          <w:szCs w:val="24"/>
        </w:rPr>
        <w:t>Comentario:</w:t>
      </w:r>
      <w:r w:rsidRPr="001163B1">
        <w:rPr>
          <w:rFonts w:ascii="Arial" w:hAnsi="Arial" w:cs="Arial"/>
          <w:i/>
          <w:sz w:val="24"/>
          <w:szCs w:val="24"/>
        </w:rPr>
        <w:t xml:space="preserve"> "Neutro" Debido a que el conductor neutro de un sistema sólidamente a tierra siempre está conectado a tierra, es a la vez un "conductor puesto a tierra</w:t>
      </w:r>
      <w:proofErr w:type="gramStart"/>
      <w:r w:rsidRPr="001163B1">
        <w:rPr>
          <w:rFonts w:ascii="Arial" w:hAnsi="Arial" w:cs="Arial"/>
          <w:i/>
          <w:sz w:val="24"/>
          <w:szCs w:val="24"/>
        </w:rPr>
        <w:t>"  y</w:t>
      </w:r>
      <w:proofErr w:type="gramEnd"/>
      <w:r w:rsidRPr="001163B1">
        <w:rPr>
          <w:rFonts w:ascii="Arial" w:hAnsi="Arial" w:cs="Arial"/>
          <w:i/>
          <w:sz w:val="24"/>
          <w:szCs w:val="24"/>
        </w:rPr>
        <w:t xml:space="preserve">  nos referiremos al "conductor puesto a tierra" como el "neutro". Figura 200-1</w:t>
      </w:r>
    </w:p>
    <w:p w:rsidR="008D7650" w:rsidRDefault="008D7650" w:rsidP="008D7650">
      <w:r>
        <w:rPr>
          <w:noProof/>
          <w:lang w:val="en-US"/>
        </w:rPr>
        <w:drawing>
          <wp:inline distT="0" distB="0" distL="0" distR="0" wp14:anchorId="03B48623" wp14:editId="3F8A9254">
            <wp:extent cx="4733925" cy="38481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200-1</w:t>
      </w:r>
    </w:p>
    <w:p w:rsidR="008D7650" w:rsidRPr="001163B1" w:rsidRDefault="008D7650" w:rsidP="008D7650">
      <w:pPr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200-1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163B1">
        <w:rPr>
          <w:rFonts w:ascii="Arial" w:hAnsi="Arial" w:cs="Arial"/>
          <w:b/>
          <w:sz w:val="24"/>
          <w:szCs w:val="24"/>
        </w:rPr>
        <w:t>Alcance</w:t>
      </w:r>
      <w:r w:rsidRPr="001163B1">
        <w:rPr>
          <w:rFonts w:ascii="Arial" w:hAnsi="Arial" w:cs="Arial"/>
          <w:sz w:val="24"/>
          <w:szCs w:val="24"/>
        </w:rPr>
        <w:t>.  El artículo 200 contiene los requisitos para la utilización e identificación de conductores y terminales neutros.</w:t>
      </w:r>
    </w:p>
    <w:p w:rsidR="008D7650" w:rsidRPr="001163B1" w:rsidRDefault="008D7650" w:rsidP="008D7650">
      <w:pPr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t>(a) Continuidad. La continuidad del conductor neutro no está autorizada a ser dependiente de una conexión a los armarios de metal, conductos eléctricos, o armadura del cable. Figura 200-2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i/>
          <w:sz w:val="24"/>
          <w:szCs w:val="24"/>
        </w:rPr>
      </w:pPr>
      <w:r w:rsidRPr="001163B1">
        <w:rPr>
          <w:rFonts w:ascii="Arial" w:hAnsi="Arial" w:cs="Arial"/>
          <w:b/>
          <w:i/>
          <w:sz w:val="24"/>
          <w:szCs w:val="24"/>
        </w:rPr>
        <w:lastRenderedPageBreak/>
        <w:t>Comentario:</w:t>
      </w:r>
      <w:r w:rsidRPr="001163B1">
        <w:rPr>
          <w:rFonts w:ascii="Arial" w:hAnsi="Arial" w:cs="Arial"/>
          <w:i/>
          <w:sz w:val="24"/>
          <w:szCs w:val="24"/>
        </w:rPr>
        <w:t xml:space="preserve"> Este requisito prohíbe la práctica de la terminación del conductor neutro en el recinto de un panel u otro equipo, en vez de en la barra de terminal neutro. Esto garantiza que el tablero metálico, alcantarilla, o armadura del cable no lleva corriente de neutro. Algunos tableros tienen dos barras de terminales, uno a cada lado del tablero con una correa de conexión de las barras de terminales juntos. Se debe tener cuidado para conectar el conductor neutro a la terminal neutral, no a la toma del conductor de tierra del equipo.</w:t>
      </w:r>
    </w:p>
    <w:p w:rsidR="008D7650" w:rsidRDefault="008D7650" w:rsidP="008D7650">
      <w:pPr>
        <w:ind w:left="708"/>
        <w:rPr>
          <w:i/>
        </w:rPr>
      </w:pPr>
      <w:r>
        <w:rPr>
          <w:i/>
          <w:noProof/>
          <w:lang w:val="en-US"/>
        </w:rPr>
        <w:drawing>
          <wp:inline distT="0" distB="0" distL="0" distR="0" wp14:anchorId="421C8166" wp14:editId="5A9CFA93">
            <wp:extent cx="4752975" cy="386715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>Figura 200-2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b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200-</w:t>
      </w:r>
      <w:proofErr w:type="gramStart"/>
      <w:r w:rsidRPr="001163B1">
        <w:rPr>
          <w:rFonts w:ascii="Arial" w:hAnsi="Arial" w:cs="Arial"/>
          <w:b/>
          <w:sz w:val="24"/>
          <w:szCs w:val="24"/>
        </w:rPr>
        <w:t>6  Identificación</w:t>
      </w:r>
      <w:proofErr w:type="gramEnd"/>
      <w:r w:rsidRPr="001163B1">
        <w:rPr>
          <w:rFonts w:ascii="Arial" w:hAnsi="Arial" w:cs="Arial"/>
          <w:b/>
          <w:sz w:val="24"/>
          <w:szCs w:val="24"/>
        </w:rPr>
        <w:t xml:space="preserve"> del conductor neutro.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a)</w:t>
      </w:r>
      <w:r w:rsidRPr="001163B1">
        <w:rPr>
          <w:rFonts w:ascii="Arial" w:hAnsi="Arial" w:cs="Arial"/>
          <w:sz w:val="24"/>
          <w:szCs w:val="24"/>
        </w:rPr>
        <w:t xml:space="preserve"> </w:t>
      </w:r>
      <w:r w:rsidRPr="001163B1">
        <w:rPr>
          <w:rFonts w:ascii="Arial" w:hAnsi="Arial" w:cs="Arial"/>
          <w:b/>
          <w:sz w:val="24"/>
          <w:szCs w:val="24"/>
        </w:rPr>
        <w:t xml:space="preserve">Tamaño 13.3 mm cuadrados (6 </w:t>
      </w:r>
      <w:proofErr w:type="gramStart"/>
      <w:r w:rsidRPr="001163B1">
        <w:rPr>
          <w:rFonts w:ascii="Arial" w:hAnsi="Arial" w:cs="Arial"/>
          <w:b/>
          <w:sz w:val="24"/>
          <w:szCs w:val="24"/>
        </w:rPr>
        <w:t>AWG)  o</w:t>
      </w:r>
      <w:proofErr w:type="gramEnd"/>
      <w:r w:rsidRPr="001163B1">
        <w:rPr>
          <w:rFonts w:ascii="Arial" w:hAnsi="Arial" w:cs="Arial"/>
          <w:b/>
          <w:sz w:val="24"/>
          <w:szCs w:val="24"/>
        </w:rPr>
        <w:t xml:space="preserve"> menor</w:t>
      </w:r>
      <w:r w:rsidRPr="001163B1">
        <w:rPr>
          <w:rFonts w:ascii="Arial" w:hAnsi="Arial" w:cs="Arial"/>
          <w:sz w:val="24"/>
          <w:szCs w:val="24"/>
        </w:rPr>
        <w:t xml:space="preserve">. Los conductores neutros 6 AWG y más pequeños deben ser identificados por un acabado exterior blanco o </w:t>
      </w:r>
      <w:proofErr w:type="gramStart"/>
      <w:r w:rsidRPr="001163B1">
        <w:rPr>
          <w:rFonts w:ascii="Arial" w:hAnsi="Arial" w:cs="Arial"/>
          <w:sz w:val="24"/>
          <w:szCs w:val="24"/>
        </w:rPr>
        <w:t>gris  a</w:t>
      </w:r>
      <w:proofErr w:type="gramEnd"/>
      <w:r w:rsidRPr="001163B1">
        <w:rPr>
          <w:rFonts w:ascii="Arial" w:hAnsi="Arial" w:cs="Arial"/>
          <w:sz w:val="24"/>
          <w:szCs w:val="24"/>
        </w:rPr>
        <w:t xml:space="preserve"> lo largo de toda su longitud, o por cualquier aislamiento de color (excepto el verde) con tres franjas  blancas en toda su longitud, o por aislamiento de color blanco o gris con cualquier rayas de color (excepto el verde) . Figura 200-3</w:t>
      </w:r>
    </w:p>
    <w:p w:rsidR="008D7650" w:rsidRDefault="008D7650" w:rsidP="008D7650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5345AF0B" wp14:editId="33592A70">
            <wp:extent cx="4733925" cy="588645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200-3</w:t>
      </w:r>
    </w:p>
    <w:p w:rsidR="008D7650" w:rsidRPr="001163B1" w:rsidRDefault="008D7650" w:rsidP="008D7650">
      <w:pPr>
        <w:ind w:left="1416"/>
        <w:jc w:val="both"/>
        <w:rPr>
          <w:rFonts w:ascii="Arial" w:hAnsi="Arial" w:cs="Arial"/>
          <w:i/>
          <w:sz w:val="24"/>
          <w:szCs w:val="24"/>
        </w:rPr>
      </w:pPr>
      <w:r w:rsidRPr="001163B1">
        <w:rPr>
          <w:rFonts w:ascii="Arial" w:hAnsi="Arial" w:cs="Arial"/>
          <w:b/>
          <w:i/>
          <w:sz w:val="24"/>
          <w:szCs w:val="24"/>
        </w:rPr>
        <w:t>Comentario:</w:t>
      </w:r>
      <w:r w:rsidRPr="001163B1">
        <w:rPr>
          <w:rFonts w:ascii="Arial" w:hAnsi="Arial" w:cs="Arial"/>
          <w:i/>
          <w:sz w:val="24"/>
          <w:szCs w:val="24"/>
        </w:rPr>
        <w:t xml:space="preserve"> El uso de la cinta blanca, pintura u otros métodos de identificación no está permitido para los conductores de 6 AWG o más pequeño. Figura 200-4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 xml:space="preserve">b) Tamaño 21.2 mm cuadrados (4 </w:t>
      </w:r>
      <w:proofErr w:type="gramStart"/>
      <w:r w:rsidRPr="001163B1">
        <w:rPr>
          <w:rFonts w:ascii="Arial" w:hAnsi="Arial" w:cs="Arial"/>
          <w:b/>
          <w:sz w:val="24"/>
          <w:szCs w:val="24"/>
        </w:rPr>
        <w:t>AWG)  o</w:t>
      </w:r>
      <w:proofErr w:type="gramEnd"/>
      <w:r w:rsidRPr="001163B1">
        <w:rPr>
          <w:rFonts w:ascii="Arial" w:hAnsi="Arial" w:cs="Arial"/>
          <w:b/>
          <w:sz w:val="24"/>
          <w:szCs w:val="24"/>
        </w:rPr>
        <w:t xml:space="preserve"> mayores.</w:t>
      </w:r>
      <w:r w:rsidRPr="001163B1">
        <w:rPr>
          <w:rFonts w:ascii="Arial" w:hAnsi="Arial" w:cs="Arial"/>
          <w:sz w:val="24"/>
          <w:szCs w:val="24"/>
        </w:rPr>
        <w:t xml:space="preserve"> Los conductores neutros de más de 6 AWG deben ser identificadas por uno de los siguientes medios.  Figura 200-5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t>(1) Un acabado exterior blanco o gris a lo largo de toda su longitud.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lastRenderedPageBreak/>
        <w:t xml:space="preserve">(2) Tres </w:t>
      </w:r>
      <w:proofErr w:type="gramStart"/>
      <w:r w:rsidRPr="001163B1">
        <w:rPr>
          <w:rFonts w:ascii="Arial" w:hAnsi="Arial" w:cs="Arial"/>
          <w:sz w:val="24"/>
          <w:szCs w:val="24"/>
        </w:rPr>
        <w:t>franjas  blancas</w:t>
      </w:r>
      <w:proofErr w:type="gramEnd"/>
      <w:r w:rsidRPr="001163B1">
        <w:rPr>
          <w:rFonts w:ascii="Arial" w:hAnsi="Arial" w:cs="Arial"/>
          <w:sz w:val="24"/>
          <w:szCs w:val="24"/>
        </w:rPr>
        <w:t xml:space="preserve">  a lo largo de toda su longitud en conductores que tengan aislamiento de color diferente al verde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t>(3) En el momento de la instalación por una marca distintiva blanca o gris en sus extremos. Esta marca debe rodear el conductor o el aislamiento.</w:t>
      </w:r>
    </w:p>
    <w:p w:rsidR="008D7650" w:rsidRDefault="008D7650" w:rsidP="008D7650">
      <w:pPr>
        <w:ind w:left="708"/>
      </w:pPr>
      <w:r>
        <w:rPr>
          <w:noProof/>
          <w:lang w:val="en-US"/>
        </w:rPr>
        <w:drawing>
          <wp:inline distT="0" distB="0" distL="0" distR="0" wp14:anchorId="7EBDE4AC" wp14:editId="55FAA075">
            <wp:extent cx="4714875" cy="39528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200-4</w:t>
      </w:r>
    </w:p>
    <w:p w:rsidR="008D7650" w:rsidRDefault="008D7650" w:rsidP="008D7650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0AEA79A8" wp14:editId="6049CAA4">
            <wp:extent cx="4743450" cy="513397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200-5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(d)  Los conductores neutros de diferentes sistemas.</w:t>
      </w:r>
      <w:r w:rsidRPr="001163B1">
        <w:rPr>
          <w:rFonts w:ascii="Arial" w:hAnsi="Arial" w:cs="Arial"/>
          <w:sz w:val="24"/>
          <w:szCs w:val="24"/>
        </w:rPr>
        <w:t xml:space="preserve"> Cuando los conductores neutros de diferentes sistemas de tensión se instalan en la misma canalización, por cable, caja, canal auxiliar u otro tipo de </w:t>
      </w:r>
      <w:proofErr w:type="gramStart"/>
      <w:r w:rsidRPr="001163B1">
        <w:rPr>
          <w:rFonts w:ascii="Arial" w:hAnsi="Arial" w:cs="Arial"/>
          <w:sz w:val="24"/>
          <w:szCs w:val="24"/>
        </w:rPr>
        <w:t>envolvente,  cada</w:t>
      </w:r>
      <w:proofErr w:type="gramEnd"/>
      <w:r w:rsidRPr="001163B1">
        <w:rPr>
          <w:rFonts w:ascii="Arial" w:hAnsi="Arial" w:cs="Arial"/>
          <w:sz w:val="24"/>
          <w:szCs w:val="24"/>
        </w:rPr>
        <w:t xml:space="preserve"> conductor neutro debe ser identificado para distinguir los sistemas por: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 xml:space="preserve">(1) </w:t>
      </w:r>
      <w:r w:rsidRPr="001163B1">
        <w:rPr>
          <w:rFonts w:ascii="Arial" w:hAnsi="Arial" w:cs="Arial"/>
          <w:sz w:val="24"/>
          <w:szCs w:val="24"/>
        </w:rPr>
        <w:t xml:space="preserve"> Un conductor puesto a tierra de un sistema debe tener el recubrimiento exterior conforme a 200-6 a) o     </w:t>
      </w:r>
      <w:proofErr w:type="gramStart"/>
      <w:r w:rsidRPr="001163B1">
        <w:rPr>
          <w:rFonts w:ascii="Arial" w:hAnsi="Arial" w:cs="Arial"/>
          <w:sz w:val="24"/>
          <w:szCs w:val="24"/>
        </w:rPr>
        <w:t>b)  Un</w:t>
      </w:r>
      <w:proofErr w:type="gramEnd"/>
      <w:r w:rsidRPr="001163B1">
        <w:rPr>
          <w:rFonts w:ascii="Arial" w:hAnsi="Arial" w:cs="Arial"/>
          <w:sz w:val="24"/>
          <w:szCs w:val="24"/>
        </w:rPr>
        <w:t xml:space="preserve"> acabado exterior blanco o gris continúa a lo largo de toda su longitud).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 xml:space="preserve">(2) </w:t>
      </w:r>
      <w:r w:rsidRPr="001163B1">
        <w:rPr>
          <w:rFonts w:ascii="Arial" w:hAnsi="Arial" w:cs="Arial"/>
          <w:sz w:val="24"/>
          <w:szCs w:val="24"/>
        </w:rPr>
        <w:t xml:space="preserve"> El conductor neutro del otro sistema debe tener una cubierta externa diferente de acabado exterior blanco o gris continua a lo largo de toda su longitud (diferente a 200-6 a) o b). Figura 200-6</w:t>
      </w:r>
    </w:p>
    <w:p w:rsidR="008D7650" w:rsidRDefault="008D7650" w:rsidP="008D7650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09EFE0A7" wp14:editId="528A2FCC">
            <wp:extent cx="4724400" cy="425767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200-6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sz w:val="24"/>
          <w:szCs w:val="24"/>
        </w:rPr>
        <w:t xml:space="preserve">(3) Otros medios diferentes de identificación a los permitidos en 200-6 a) o b) que distinguirá al neutro. El </w:t>
      </w:r>
      <w:proofErr w:type="gramStart"/>
      <w:r w:rsidRPr="001163B1">
        <w:rPr>
          <w:rFonts w:ascii="Arial" w:hAnsi="Arial" w:cs="Arial"/>
          <w:sz w:val="24"/>
          <w:szCs w:val="24"/>
        </w:rPr>
        <w:t>medio  de</w:t>
      </w:r>
      <w:proofErr w:type="gramEnd"/>
      <w:r w:rsidRPr="001163B1">
        <w:rPr>
          <w:rFonts w:ascii="Arial" w:hAnsi="Arial" w:cs="Arial"/>
          <w:sz w:val="24"/>
          <w:szCs w:val="24"/>
        </w:rPr>
        <w:t xml:space="preserve"> identificación debe documentarse de tal manera que esté disponible y se debe fijar permanentemente  en cada tablero del circuito derivado,  (donde se originan los conductores de diferentes sistemas). Figura 200-7</w:t>
      </w:r>
    </w:p>
    <w:p w:rsidR="008D7650" w:rsidRDefault="008D7650" w:rsidP="008D7650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1A5889BE" wp14:editId="51A8EF53">
            <wp:extent cx="4762500" cy="38290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200-7</w:t>
      </w:r>
    </w:p>
    <w:p w:rsidR="008D7650" w:rsidRPr="001163B1" w:rsidRDefault="008D7650" w:rsidP="008D7650">
      <w:pPr>
        <w:ind w:left="1416"/>
        <w:jc w:val="both"/>
        <w:rPr>
          <w:rFonts w:ascii="Arial" w:hAnsi="Arial" w:cs="Arial"/>
          <w:i/>
          <w:sz w:val="24"/>
          <w:szCs w:val="24"/>
        </w:rPr>
      </w:pPr>
      <w:r w:rsidRPr="001163B1">
        <w:rPr>
          <w:rFonts w:ascii="Arial" w:hAnsi="Arial" w:cs="Arial"/>
          <w:b/>
          <w:i/>
          <w:sz w:val="24"/>
          <w:szCs w:val="24"/>
        </w:rPr>
        <w:t xml:space="preserve">Comentario: </w:t>
      </w:r>
      <w:r w:rsidRPr="001163B1">
        <w:rPr>
          <w:rFonts w:ascii="Arial" w:hAnsi="Arial" w:cs="Arial"/>
          <w:i/>
          <w:sz w:val="24"/>
          <w:szCs w:val="24"/>
        </w:rPr>
        <w:t>Cuando un sistema de cableado de las instalaciones cuenta con circuitos alimentados desde más de un sistema de tensión, cada conductor no puesto a tierra debe ser identificado por el sistema [210-5 (c) y 215-12 (c)].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b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200-7 El uso de color blanco o gris.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c) Los circuitos de 50 V o más</w:t>
      </w:r>
      <w:r w:rsidRPr="001163B1">
        <w:rPr>
          <w:rFonts w:ascii="Arial" w:hAnsi="Arial" w:cs="Arial"/>
          <w:sz w:val="24"/>
          <w:szCs w:val="24"/>
        </w:rPr>
        <w:t>. Un conductor con aislamiento blanco sólo se puede utilizar para el conductor de conexión a tierra como se permite en (1), (2), y (3) a continuación.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(1) Conjunto de cable</w:t>
      </w:r>
      <w:r w:rsidRPr="001163B1">
        <w:rPr>
          <w:rFonts w:ascii="Arial" w:hAnsi="Arial" w:cs="Arial"/>
          <w:sz w:val="24"/>
          <w:szCs w:val="24"/>
        </w:rPr>
        <w:t xml:space="preserve">. El conductor de blanco dentro de un cable se puede utilizar para el conductor de conexión a tierra si vuelto a identificar de forma permanente en cada ubicación en la que el </w:t>
      </w:r>
      <w:r w:rsidRPr="001163B1">
        <w:rPr>
          <w:rFonts w:ascii="Arial" w:hAnsi="Arial" w:cs="Arial"/>
          <w:b/>
          <w:sz w:val="24"/>
          <w:szCs w:val="24"/>
        </w:rPr>
        <w:t>conductor es visible</w:t>
      </w:r>
      <w:r w:rsidRPr="001163B1">
        <w:rPr>
          <w:rFonts w:ascii="Arial" w:hAnsi="Arial" w:cs="Arial"/>
          <w:sz w:val="24"/>
          <w:szCs w:val="24"/>
        </w:rPr>
        <w:t xml:space="preserve"> para indicar su uso como un conductor de puesta a tierra. Identificación tiene que abrazar el aislamiento y debe ser de un color distinto del blanco, gris o verde. Figura 200-8</w:t>
      </w:r>
    </w:p>
    <w:p w:rsidR="008D7650" w:rsidRDefault="008D7650" w:rsidP="008D7650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58F230EC" wp14:editId="5E4BAB8B">
            <wp:extent cx="4752975" cy="3924300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200-8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 xml:space="preserve">(2) Interruptores. </w:t>
      </w:r>
      <w:r w:rsidRPr="001163B1">
        <w:rPr>
          <w:rFonts w:ascii="Arial" w:hAnsi="Arial" w:cs="Arial"/>
          <w:sz w:val="24"/>
          <w:szCs w:val="24"/>
        </w:rPr>
        <w:t xml:space="preserve">La identificación debe estar alrededor del aislamiento y debe ser de un color diferente del blanco, gris o verde. Si se utiliza para puentes </w:t>
      </w:r>
      <w:proofErr w:type="gramStart"/>
      <w:r w:rsidRPr="001163B1">
        <w:rPr>
          <w:rFonts w:ascii="Arial" w:hAnsi="Arial" w:cs="Arial"/>
          <w:sz w:val="24"/>
          <w:szCs w:val="24"/>
        </w:rPr>
        <w:t>comunes  de</w:t>
      </w:r>
      <w:proofErr w:type="gramEnd"/>
      <w:r w:rsidRPr="001163B1">
        <w:rPr>
          <w:rFonts w:ascii="Arial" w:hAnsi="Arial" w:cs="Arial"/>
          <w:sz w:val="24"/>
          <w:szCs w:val="24"/>
        </w:rPr>
        <w:t xml:space="preserve"> interruptores de 3  </w:t>
      </w:r>
      <w:proofErr w:type="spellStart"/>
      <w:r w:rsidRPr="001163B1">
        <w:rPr>
          <w:rFonts w:ascii="Arial" w:hAnsi="Arial" w:cs="Arial"/>
          <w:sz w:val="24"/>
          <w:szCs w:val="24"/>
        </w:rPr>
        <w:t>ó</w:t>
      </w:r>
      <w:proofErr w:type="spellEnd"/>
      <w:r w:rsidRPr="001163B1">
        <w:rPr>
          <w:rFonts w:ascii="Arial" w:hAnsi="Arial" w:cs="Arial"/>
          <w:sz w:val="24"/>
          <w:szCs w:val="24"/>
        </w:rPr>
        <w:t xml:space="preserve">  4  vías, el conductor  identificado con aislamiento blanco o gris o tres franjas blancas continuas, se podrá usar para alimentar el interruptor pero no como conductor de retorno  del interruptor  a la salida que alimenta Figura 200-9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(3) Cable Flexible</w:t>
      </w:r>
      <w:r w:rsidRPr="001163B1">
        <w:rPr>
          <w:rFonts w:ascii="Arial" w:hAnsi="Arial" w:cs="Arial"/>
          <w:sz w:val="24"/>
          <w:szCs w:val="24"/>
        </w:rPr>
        <w:t xml:space="preserve">. El conductor blanco dentro de un cordón flexible se puede utilizar para el conductor de conexión a tierra para conectar un aparato o equipo según lo permitido </w:t>
      </w:r>
      <w:proofErr w:type="gramStart"/>
      <w:r w:rsidRPr="001163B1">
        <w:rPr>
          <w:rFonts w:ascii="Arial" w:hAnsi="Arial" w:cs="Arial"/>
          <w:sz w:val="24"/>
          <w:szCs w:val="24"/>
        </w:rPr>
        <w:t>por  400</w:t>
      </w:r>
      <w:proofErr w:type="gramEnd"/>
      <w:r w:rsidRPr="001163B1">
        <w:rPr>
          <w:rFonts w:ascii="Arial" w:hAnsi="Arial" w:cs="Arial"/>
          <w:sz w:val="24"/>
          <w:szCs w:val="24"/>
        </w:rPr>
        <w:t>-7.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NOTA:</w:t>
      </w:r>
      <w:r w:rsidRPr="001163B1">
        <w:rPr>
          <w:rFonts w:ascii="Arial" w:hAnsi="Arial" w:cs="Arial"/>
          <w:sz w:val="24"/>
          <w:szCs w:val="24"/>
        </w:rPr>
        <w:t xml:space="preserve"> Se debe tener cuidado cuando se trabaja en los sistemas existentes, porque un conductor aislado gris puede haber sido utilizado en el pasado como un conductor de puesta a tierra.</w:t>
      </w:r>
    </w:p>
    <w:p w:rsidR="008D7650" w:rsidRDefault="008D7650" w:rsidP="008D7650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1800DD39" wp14:editId="7433927E">
            <wp:extent cx="4772025" cy="545782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200-9</w:t>
      </w:r>
    </w:p>
    <w:p w:rsidR="008D7650" w:rsidRPr="001163B1" w:rsidRDefault="008D7650" w:rsidP="008D7650">
      <w:pPr>
        <w:ind w:left="1416"/>
        <w:jc w:val="both"/>
        <w:rPr>
          <w:rFonts w:ascii="Arial" w:hAnsi="Arial" w:cs="Arial"/>
          <w:i/>
          <w:sz w:val="24"/>
          <w:szCs w:val="24"/>
        </w:rPr>
      </w:pPr>
      <w:r w:rsidRPr="001163B1">
        <w:rPr>
          <w:rFonts w:ascii="Arial" w:hAnsi="Arial" w:cs="Arial"/>
          <w:b/>
          <w:i/>
          <w:sz w:val="24"/>
          <w:szCs w:val="24"/>
        </w:rPr>
        <w:t>Comentario:</w:t>
      </w:r>
      <w:r w:rsidRPr="001163B1">
        <w:rPr>
          <w:rFonts w:ascii="Arial" w:hAnsi="Arial" w:cs="Arial"/>
          <w:i/>
          <w:sz w:val="24"/>
          <w:szCs w:val="24"/>
        </w:rPr>
        <w:t xml:space="preserve"> La NOM no permite el uso de color blanco o gris </w:t>
      </w:r>
      <w:proofErr w:type="gramStart"/>
      <w:r w:rsidRPr="001163B1">
        <w:rPr>
          <w:rFonts w:ascii="Arial" w:hAnsi="Arial" w:cs="Arial"/>
          <w:i/>
          <w:sz w:val="24"/>
          <w:szCs w:val="24"/>
        </w:rPr>
        <w:t>aislamiento  para</w:t>
      </w:r>
      <w:proofErr w:type="gramEnd"/>
      <w:r w:rsidRPr="001163B1">
        <w:rPr>
          <w:rFonts w:ascii="Arial" w:hAnsi="Arial" w:cs="Arial"/>
          <w:i/>
          <w:sz w:val="24"/>
          <w:szCs w:val="24"/>
        </w:rPr>
        <w:t xml:space="preserve"> conductores sin conexión a tierra en una canalización, incluso si los conductores están re identificados permanentemente Figura 200-10.</w:t>
      </w:r>
    </w:p>
    <w:p w:rsidR="008D7650" w:rsidRDefault="008D7650" w:rsidP="008D7650">
      <w:pPr>
        <w:ind w:left="708"/>
      </w:pPr>
      <w:r>
        <w:rPr>
          <w:noProof/>
          <w:lang w:val="en-US"/>
        </w:rPr>
        <w:lastRenderedPageBreak/>
        <w:drawing>
          <wp:inline distT="0" distB="0" distL="0" distR="0" wp14:anchorId="7987F437" wp14:editId="6FB0D957">
            <wp:extent cx="4743450" cy="39624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Figura 200-10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 xml:space="preserve">200-9 </w:t>
      </w:r>
      <w:r>
        <w:rPr>
          <w:rFonts w:ascii="Arial" w:hAnsi="Arial" w:cs="Arial"/>
          <w:b/>
          <w:sz w:val="24"/>
          <w:szCs w:val="24"/>
        </w:rPr>
        <w:t xml:space="preserve">Medios de </w:t>
      </w:r>
      <w:r w:rsidRPr="001163B1">
        <w:rPr>
          <w:rFonts w:ascii="Arial" w:hAnsi="Arial" w:cs="Arial"/>
          <w:b/>
          <w:sz w:val="24"/>
          <w:szCs w:val="24"/>
        </w:rPr>
        <w:t xml:space="preserve">Identificación de </w:t>
      </w:r>
      <w:r>
        <w:rPr>
          <w:rFonts w:ascii="Arial" w:hAnsi="Arial" w:cs="Arial"/>
          <w:b/>
          <w:sz w:val="24"/>
          <w:szCs w:val="24"/>
        </w:rPr>
        <w:t xml:space="preserve">las </w:t>
      </w:r>
      <w:r w:rsidRPr="001163B1">
        <w:rPr>
          <w:rFonts w:ascii="Arial" w:hAnsi="Arial" w:cs="Arial"/>
          <w:b/>
          <w:sz w:val="24"/>
          <w:szCs w:val="24"/>
        </w:rPr>
        <w:t>terminal</w:t>
      </w:r>
      <w:r>
        <w:rPr>
          <w:rFonts w:ascii="Arial" w:hAnsi="Arial" w:cs="Arial"/>
          <w:b/>
          <w:sz w:val="24"/>
          <w:szCs w:val="24"/>
        </w:rPr>
        <w:t>es</w:t>
      </w:r>
      <w:r w:rsidRPr="001163B1">
        <w:rPr>
          <w:rFonts w:ascii="Arial" w:hAnsi="Arial" w:cs="Arial"/>
          <w:sz w:val="24"/>
          <w:szCs w:val="24"/>
        </w:rPr>
        <w:t>. La terminal para el conductor neutro debe ser de color blanco. La identificación de las demás terminales debe ser de un color distinto al blanco.</w:t>
      </w:r>
    </w:p>
    <w:p w:rsidR="008D7650" w:rsidRPr="001163B1" w:rsidRDefault="008D7650" w:rsidP="008D7650">
      <w:pPr>
        <w:ind w:left="1416"/>
        <w:jc w:val="both"/>
        <w:rPr>
          <w:rFonts w:ascii="Arial" w:hAnsi="Arial" w:cs="Arial"/>
          <w:i/>
          <w:sz w:val="24"/>
          <w:szCs w:val="24"/>
        </w:rPr>
      </w:pPr>
      <w:r w:rsidRPr="001163B1">
        <w:rPr>
          <w:rFonts w:ascii="Arial" w:hAnsi="Arial" w:cs="Arial"/>
          <w:i/>
          <w:sz w:val="24"/>
          <w:szCs w:val="24"/>
        </w:rPr>
        <w:t>Comentario: Terminales para el conductor de (puesta a tierra) protección del circuito debe ser de color verde [250-126 y 406-9 (b)].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b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200-10 Identificación de Terminales.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(c) Armazón del tornillo</w:t>
      </w:r>
      <w:r w:rsidRPr="001163B1">
        <w:rPr>
          <w:rFonts w:ascii="Arial" w:hAnsi="Arial" w:cs="Arial"/>
          <w:sz w:val="24"/>
          <w:szCs w:val="24"/>
        </w:rPr>
        <w:t xml:space="preserve">. Para evitar descargas eléctricas, el casquillo de un </w:t>
      </w:r>
      <w:proofErr w:type="gramStart"/>
      <w:r w:rsidRPr="001163B1">
        <w:rPr>
          <w:rFonts w:ascii="Arial" w:hAnsi="Arial" w:cs="Arial"/>
          <w:sz w:val="24"/>
          <w:szCs w:val="24"/>
        </w:rPr>
        <w:t>socket  de</w:t>
      </w:r>
      <w:proofErr w:type="gramEnd"/>
      <w:r w:rsidRPr="001163B1">
        <w:rPr>
          <w:rFonts w:ascii="Arial" w:hAnsi="Arial" w:cs="Arial"/>
          <w:sz w:val="24"/>
          <w:szCs w:val="24"/>
        </w:rPr>
        <w:t xml:space="preserve">   una luminaria o portalámparas debe estar conectado al conductor neutro [410-90]. Figura 200-11</w:t>
      </w:r>
    </w:p>
    <w:p w:rsidR="008D7650" w:rsidRDefault="008D7650" w:rsidP="008D7650">
      <w:pPr>
        <w:ind w:left="708"/>
      </w:pPr>
      <w:r>
        <w:object w:dxaOrig="7440" w:dyaOrig="6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309pt" o:ole="">
            <v:imagedata r:id="rId15" o:title=""/>
          </v:shape>
          <o:OLEObject Type="Embed" ProgID="PBrush" ShapeID="_x0000_i1025" DrawAspect="Content" ObjectID="_1641236485" r:id="rId16"/>
        </w:object>
      </w:r>
      <w:r>
        <w:t>Figura 200-11</w:t>
      </w:r>
    </w:p>
    <w:p w:rsidR="008D7650" w:rsidRPr="001163B1" w:rsidRDefault="008D7650" w:rsidP="008D7650">
      <w:pPr>
        <w:ind w:left="708" w:firstLine="708"/>
        <w:jc w:val="both"/>
        <w:rPr>
          <w:rFonts w:ascii="Arial" w:hAnsi="Arial" w:cs="Arial"/>
          <w:i/>
          <w:sz w:val="24"/>
          <w:szCs w:val="24"/>
        </w:rPr>
      </w:pPr>
      <w:r w:rsidRPr="001163B1">
        <w:rPr>
          <w:rFonts w:ascii="Arial" w:hAnsi="Arial" w:cs="Arial"/>
          <w:b/>
          <w:i/>
          <w:sz w:val="24"/>
          <w:szCs w:val="24"/>
        </w:rPr>
        <w:t>Comentario</w:t>
      </w:r>
      <w:r w:rsidRPr="001163B1">
        <w:rPr>
          <w:rFonts w:ascii="Arial" w:hAnsi="Arial" w:cs="Arial"/>
          <w:i/>
          <w:sz w:val="24"/>
          <w:szCs w:val="24"/>
        </w:rPr>
        <w:t>: Véase la definición de "luminarias" en el artículo 100.</w:t>
      </w:r>
    </w:p>
    <w:p w:rsidR="008D7650" w:rsidRPr="001163B1" w:rsidRDefault="008D7650" w:rsidP="008D7650">
      <w:pPr>
        <w:ind w:left="708"/>
        <w:jc w:val="both"/>
        <w:rPr>
          <w:rFonts w:ascii="Arial" w:hAnsi="Arial" w:cs="Arial"/>
          <w:sz w:val="24"/>
          <w:szCs w:val="24"/>
        </w:rPr>
      </w:pPr>
      <w:r w:rsidRPr="001163B1">
        <w:rPr>
          <w:rFonts w:ascii="Arial" w:hAnsi="Arial" w:cs="Arial"/>
          <w:b/>
          <w:sz w:val="24"/>
          <w:szCs w:val="24"/>
        </w:rPr>
        <w:t>200-11 Polaridad</w:t>
      </w:r>
      <w:r w:rsidRPr="001163B1">
        <w:rPr>
          <w:rFonts w:ascii="Arial" w:hAnsi="Arial" w:cs="Arial"/>
          <w:sz w:val="24"/>
          <w:szCs w:val="24"/>
        </w:rPr>
        <w:t xml:space="preserve">. Un conductor neutro no debe estar conectado a las terminales o conductores que puedan </w:t>
      </w:r>
      <w:proofErr w:type="gramStart"/>
      <w:r w:rsidRPr="001163B1">
        <w:rPr>
          <w:rFonts w:ascii="Arial" w:hAnsi="Arial" w:cs="Arial"/>
          <w:sz w:val="24"/>
          <w:szCs w:val="24"/>
        </w:rPr>
        <w:t>invertir  la</w:t>
      </w:r>
      <w:proofErr w:type="gramEnd"/>
      <w:r w:rsidRPr="001163B1">
        <w:rPr>
          <w:rFonts w:ascii="Arial" w:hAnsi="Arial" w:cs="Arial"/>
          <w:sz w:val="24"/>
          <w:szCs w:val="24"/>
        </w:rPr>
        <w:t xml:space="preserve"> polaridad  [410-50]. Ver Figura 200-11.</w:t>
      </w:r>
    </w:p>
    <w:p w:rsidR="00521917" w:rsidRDefault="00081EC6"/>
    <w:sectPr w:rsidR="00521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D2365E"/>
    <w:multiLevelType w:val="hybridMultilevel"/>
    <w:tmpl w:val="B99622C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650"/>
    <w:rsid w:val="00081EC6"/>
    <w:rsid w:val="008D7650"/>
    <w:rsid w:val="009A52FE"/>
    <w:rsid w:val="00A8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84E566F-B356-427C-93F7-95AFA05B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7650"/>
    <w:pPr>
      <w:spacing w:after="200" w:line="27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7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980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ortiz</dc:creator>
  <cp:keywords/>
  <dc:description/>
  <cp:lastModifiedBy>Jose Luis</cp:lastModifiedBy>
  <cp:revision>2</cp:revision>
  <dcterms:created xsi:type="dcterms:W3CDTF">2020-01-23T04:14:00Z</dcterms:created>
  <dcterms:modified xsi:type="dcterms:W3CDTF">2020-01-23T04:14:00Z</dcterms:modified>
</cp:coreProperties>
</file>