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F55" w:rsidRPr="00A85F55" w:rsidRDefault="00A85F55" w:rsidP="00A85F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A85F55">
        <w:rPr>
          <w:rFonts w:ascii="Arial" w:hAnsi="Arial" w:cs="Arial"/>
          <w:b/>
          <w:bCs/>
        </w:rPr>
        <w:t xml:space="preserve">AREAS DE ATENCION CRITICA. </w:t>
      </w:r>
      <w:r w:rsidRPr="00A85F55">
        <w:rPr>
          <w:rFonts w:ascii="Arial" w:hAnsi="Arial" w:cs="Arial"/>
        </w:rPr>
        <w:t xml:space="preserve">El número de circuitos y los receptáculos debe ser conforme a la NOM y NFPA 99. Se requieren caminos de tierra redundantes. disposiciones de energía de emergencia también son obligatorias por estas normas. Todos los receptáculos deben ser de grado hospitalario. </w:t>
      </w:r>
      <w:r>
        <w:rPr>
          <w:rFonts w:ascii="Arial" w:hAnsi="Arial" w:cs="Arial"/>
        </w:rPr>
        <w:t xml:space="preserve">Referencia: </w:t>
      </w:r>
      <w:r w:rsidRPr="00A85F55">
        <w:rPr>
          <w:rFonts w:ascii="Arial" w:hAnsi="Arial" w:cs="Arial"/>
        </w:rPr>
        <w:t>NOM, NFPA 99 y IEEE BOOK™ White.</w:t>
      </w:r>
    </w:p>
    <w:p w:rsidR="00B571F1" w:rsidRPr="00A85F55" w:rsidRDefault="00B571F1" w:rsidP="00F35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85F55">
        <w:rPr>
          <w:rFonts w:ascii="Arial" w:hAnsi="Arial" w:cs="Arial"/>
          <w:b/>
          <w:bCs/>
        </w:rPr>
        <w:t xml:space="preserve">517-19 </w:t>
      </w:r>
      <w:r w:rsidR="00F35EF2" w:rsidRPr="00A85F55">
        <w:rPr>
          <w:rFonts w:ascii="Arial" w:hAnsi="Arial" w:cs="Arial"/>
          <w:b/>
          <w:bCs/>
        </w:rPr>
        <w:t>Áreas</w:t>
      </w:r>
      <w:r w:rsidRPr="00A85F55">
        <w:rPr>
          <w:rFonts w:ascii="Arial" w:hAnsi="Arial" w:cs="Arial"/>
          <w:b/>
          <w:bCs/>
        </w:rPr>
        <w:t xml:space="preserve"> de atención crítica</w:t>
      </w:r>
      <w:r w:rsidR="00292200" w:rsidRPr="00A85F55">
        <w:rPr>
          <w:rFonts w:ascii="Arial" w:hAnsi="Arial" w:cs="Arial"/>
          <w:b/>
          <w:bCs/>
        </w:rPr>
        <w:t xml:space="preserve"> (</w:t>
      </w:r>
      <w:r w:rsidR="00292200" w:rsidRPr="00A85F55">
        <w:rPr>
          <w:rFonts w:ascii="Arial" w:hAnsi="Arial" w:cs="Arial"/>
          <w:b/>
          <w:bCs/>
          <w:color w:val="FF0000"/>
          <w:u w:val="single"/>
        </w:rPr>
        <w:t>NOM-001-SEDE-2012</w:t>
      </w:r>
      <w:r w:rsidR="00292200" w:rsidRPr="00A85F55">
        <w:rPr>
          <w:rFonts w:ascii="Arial" w:hAnsi="Arial" w:cs="Arial"/>
          <w:b/>
          <w:bCs/>
        </w:rPr>
        <w:t>)</w:t>
      </w:r>
    </w:p>
    <w:p w:rsidR="00B571F1" w:rsidRPr="00A85F55" w:rsidRDefault="00B571F1" w:rsidP="00F35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5F55">
        <w:rPr>
          <w:rFonts w:ascii="Arial" w:hAnsi="Arial" w:cs="Arial"/>
          <w:b/>
          <w:bCs/>
        </w:rPr>
        <w:t>a) Circuitos derivados dentro de la ubicación de las camas de pacientes</w:t>
      </w:r>
      <w:r w:rsidRPr="00A85F55">
        <w:rPr>
          <w:rFonts w:ascii="Arial" w:hAnsi="Arial" w:cs="Arial"/>
        </w:rPr>
        <w:t>. Cada cama de paciente</w:t>
      </w:r>
      <w:r w:rsidR="00F35EF2" w:rsidRPr="00A85F55">
        <w:rPr>
          <w:rFonts w:ascii="Arial" w:hAnsi="Arial" w:cs="Arial"/>
        </w:rPr>
        <w:t xml:space="preserve"> </w:t>
      </w:r>
      <w:r w:rsidRPr="00A85F55">
        <w:rPr>
          <w:rFonts w:ascii="Arial" w:hAnsi="Arial" w:cs="Arial"/>
        </w:rPr>
        <w:t>debe tener cuando menos dos circuitos derivados, uno o más del sistema de emergencia y uno o más del</w:t>
      </w:r>
      <w:r w:rsidR="00F35EF2" w:rsidRPr="00A85F55">
        <w:rPr>
          <w:rFonts w:ascii="Arial" w:hAnsi="Arial" w:cs="Arial"/>
        </w:rPr>
        <w:t xml:space="preserve"> </w:t>
      </w:r>
      <w:r w:rsidRPr="00A85F55">
        <w:rPr>
          <w:rFonts w:ascii="Arial" w:hAnsi="Arial" w:cs="Arial"/>
        </w:rPr>
        <w:t>sistema normal; cuando menos un circuito de emergencia debe alimentar a contactos en esta ubicación de la</w:t>
      </w:r>
      <w:r w:rsidR="00F35EF2" w:rsidRPr="00A85F55">
        <w:rPr>
          <w:rFonts w:ascii="Arial" w:hAnsi="Arial" w:cs="Arial"/>
        </w:rPr>
        <w:t xml:space="preserve"> </w:t>
      </w:r>
      <w:r w:rsidRPr="00A85F55">
        <w:rPr>
          <w:rFonts w:ascii="Arial" w:hAnsi="Arial" w:cs="Arial"/>
        </w:rPr>
        <w:t>cama. Todos los circuitos del sistema normal deben originarse en el mismo tablero de alumbrado y control.</w:t>
      </w:r>
    </w:p>
    <w:p w:rsidR="00B571F1" w:rsidRPr="00A85F55" w:rsidRDefault="00B571F1" w:rsidP="00F35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5F55">
        <w:rPr>
          <w:rFonts w:ascii="Arial" w:hAnsi="Arial" w:cs="Arial"/>
        </w:rPr>
        <w:t>Los contactos del sistema de emergencia deben estar identificados y también deben indicar el tablero de</w:t>
      </w:r>
      <w:r w:rsidR="00F35EF2" w:rsidRPr="00A85F55">
        <w:rPr>
          <w:rFonts w:ascii="Arial" w:hAnsi="Arial" w:cs="Arial"/>
        </w:rPr>
        <w:t xml:space="preserve"> </w:t>
      </w:r>
      <w:r w:rsidRPr="00A85F55">
        <w:rPr>
          <w:rFonts w:ascii="Arial" w:hAnsi="Arial" w:cs="Arial"/>
        </w:rPr>
        <w:t>alumbrado y el número del circuito derivado al que están conectados. Los circuitos derivados que alimentan a</w:t>
      </w:r>
      <w:r w:rsidR="00F35EF2" w:rsidRPr="00A85F55">
        <w:rPr>
          <w:rFonts w:ascii="Arial" w:hAnsi="Arial" w:cs="Arial"/>
        </w:rPr>
        <w:t xml:space="preserve"> </w:t>
      </w:r>
      <w:r w:rsidRPr="00A85F55">
        <w:rPr>
          <w:rFonts w:ascii="Arial" w:hAnsi="Arial" w:cs="Arial"/>
        </w:rPr>
        <w:t xml:space="preserve">la ubicación de la cama del </w:t>
      </w:r>
      <w:proofErr w:type="gramStart"/>
      <w:r w:rsidRPr="00A85F55">
        <w:rPr>
          <w:rFonts w:ascii="Arial" w:hAnsi="Arial" w:cs="Arial"/>
        </w:rPr>
        <w:t>paciente,</w:t>
      </w:r>
      <w:proofErr w:type="gramEnd"/>
      <w:r w:rsidRPr="00A85F55">
        <w:rPr>
          <w:rFonts w:ascii="Arial" w:hAnsi="Arial" w:cs="Arial"/>
        </w:rPr>
        <w:t xml:space="preserve"> no deben formar parte de un circuito </w:t>
      </w:r>
      <w:proofErr w:type="spellStart"/>
      <w:r w:rsidRPr="00A85F55">
        <w:rPr>
          <w:rFonts w:ascii="Arial" w:hAnsi="Arial" w:cs="Arial"/>
        </w:rPr>
        <w:t>multiconductor</w:t>
      </w:r>
      <w:proofErr w:type="spellEnd"/>
      <w:r w:rsidR="00A85F55">
        <w:rPr>
          <w:rFonts w:ascii="Arial" w:hAnsi="Arial" w:cs="Arial"/>
        </w:rPr>
        <w:t>.</w:t>
      </w:r>
    </w:p>
    <w:p w:rsidR="00B571F1" w:rsidRPr="00A85F55" w:rsidRDefault="00B571F1" w:rsidP="00F35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5F55">
        <w:rPr>
          <w:rFonts w:ascii="Arial" w:hAnsi="Arial" w:cs="Arial"/>
          <w:b/>
          <w:bCs/>
        </w:rPr>
        <w:t xml:space="preserve">Excepción 1: </w:t>
      </w:r>
      <w:r w:rsidRPr="00A85F55">
        <w:rPr>
          <w:rFonts w:ascii="Arial" w:hAnsi="Arial" w:cs="Arial"/>
        </w:rPr>
        <w:t>Los circuitos derivados que alimentan sólo a contactos y a equipo de uso especial, dentro</w:t>
      </w:r>
      <w:r w:rsidR="00F35EF2" w:rsidRPr="00A85F55">
        <w:rPr>
          <w:rFonts w:ascii="Arial" w:hAnsi="Arial" w:cs="Arial"/>
        </w:rPr>
        <w:t xml:space="preserve"> </w:t>
      </w:r>
      <w:r w:rsidRPr="00A85F55">
        <w:rPr>
          <w:rFonts w:ascii="Arial" w:hAnsi="Arial" w:cs="Arial"/>
        </w:rPr>
        <w:t>de la ubicación de las camas para la atención crítica, pueden estar alimentados desde otros tableros de</w:t>
      </w:r>
      <w:r w:rsidR="00F35EF2" w:rsidRPr="00A85F55">
        <w:rPr>
          <w:rFonts w:ascii="Arial" w:hAnsi="Arial" w:cs="Arial"/>
        </w:rPr>
        <w:t xml:space="preserve"> </w:t>
      </w:r>
      <w:r w:rsidRPr="00A85F55">
        <w:rPr>
          <w:rFonts w:ascii="Arial" w:hAnsi="Arial" w:cs="Arial"/>
        </w:rPr>
        <w:t>alumbrado y control de la fuente normal.</w:t>
      </w:r>
    </w:p>
    <w:p w:rsidR="00B571F1" w:rsidRPr="00A85F55" w:rsidRDefault="00B571F1" w:rsidP="00F35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5F55">
        <w:rPr>
          <w:rFonts w:ascii="Arial" w:hAnsi="Arial" w:cs="Arial"/>
          <w:b/>
          <w:bCs/>
        </w:rPr>
        <w:t xml:space="preserve">Excepción 2: </w:t>
      </w:r>
      <w:r w:rsidRPr="00A85F55">
        <w:rPr>
          <w:rFonts w:ascii="Arial" w:hAnsi="Arial" w:cs="Arial"/>
        </w:rPr>
        <w:t>La ubicación de la cama del paciente dentro de un área de atención crítica, no requiere de</w:t>
      </w:r>
      <w:r w:rsidR="00F35EF2" w:rsidRPr="00A85F55">
        <w:rPr>
          <w:rFonts w:ascii="Arial" w:hAnsi="Arial" w:cs="Arial"/>
        </w:rPr>
        <w:t xml:space="preserve"> </w:t>
      </w:r>
      <w:r w:rsidRPr="00A85F55">
        <w:rPr>
          <w:rFonts w:ascii="Arial" w:hAnsi="Arial" w:cs="Arial"/>
        </w:rPr>
        <w:t>un circuito del sistema eléctrico normal, si los circuitos derivados están alimentados de dos desconectadores</w:t>
      </w:r>
      <w:r w:rsidR="00F35EF2" w:rsidRPr="00A85F55">
        <w:rPr>
          <w:rFonts w:ascii="Arial" w:hAnsi="Arial" w:cs="Arial"/>
        </w:rPr>
        <w:t xml:space="preserve"> </w:t>
      </w:r>
      <w:r w:rsidRPr="00A85F55">
        <w:rPr>
          <w:rFonts w:ascii="Arial" w:hAnsi="Arial" w:cs="Arial"/>
        </w:rPr>
        <w:t>de transferencia diferentes conectados al sistema de emergencia.</w:t>
      </w:r>
    </w:p>
    <w:p w:rsidR="00B571F1" w:rsidRPr="00A85F55" w:rsidRDefault="00B571F1" w:rsidP="00F35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85F55">
        <w:rPr>
          <w:rFonts w:ascii="Arial" w:hAnsi="Arial" w:cs="Arial"/>
          <w:b/>
          <w:bCs/>
        </w:rPr>
        <w:t>b) Contactos dentro de la ubicación de las camas de pacientes.</w:t>
      </w:r>
    </w:p>
    <w:p w:rsidR="00B571F1" w:rsidRPr="00A85F55" w:rsidRDefault="00B571F1" w:rsidP="00F35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85F55">
        <w:rPr>
          <w:rFonts w:ascii="Arial" w:hAnsi="Arial" w:cs="Arial"/>
          <w:b/>
          <w:bCs/>
        </w:rPr>
        <w:t>1) Cantidad mínima y su alimentación del sistema</w:t>
      </w:r>
      <w:r w:rsidRPr="00A85F55">
        <w:rPr>
          <w:rFonts w:ascii="Arial" w:hAnsi="Arial" w:cs="Arial"/>
          <w:b/>
        </w:rPr>
        <w:t>. Cada ubicación de la cama para el paciente debe</w:t>
      </w:r>
      <w:r w:rsidR="00F35EF2" w:rsidRPr="00A85F55">
        <w:rPr>
          <w:rFonts w:ascii="Arial" w:hAnsi="Arial" w:cs="Arial"/>
          <w:b/>
        </w:rPr>
        <w:t xml:space="preserve"> </w:t>
      </w:r>
      <w:r w:rsidRPr="00A85F55">
        <w:rPr>
          <w:rFonts w:ascii="Arial" w:hAnsi="Arial" w:cs="Arial"/>
          <w:b/>
        </w:rPr>
        <w:t xml:space="preserve">estar provista </w:t>
      </w:r>
      <w:r w:rsidRPr="00A85F55">
        <w:rPr>
          <w:rFonts w:ascii="Arial" w:hAnsi="Arial" w:cs="Arial"/>
          <w:b/>
          <w:color w:val="00B0F0"/>
          <w:u w:val="single"/>
        </w:rPr>
        <w:t>como mínimo de seis contactos</w:t>
      </w:r>
      <w:r w:rsidRPr="00A85F55">
        <w:rPr>
          <w:rFonts w:ascii="Arial" w:hAnsi="Arial" w:cs="Arial"/>
          <w:b/>
        </w:rPr>
        <w:t>, cuando menos uno debe ser conectado como sigue:</w:t>
      </w:r>
    </w:p>
    <w:p w:rsidR="00B571F1" w:rsidRPr="00A85F55" w:rsidRDefault="00B571F1" w:rsidP="00F35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A85F55">
        <w:rPr>
          <w:rFonts w:ascii="Arial" w:hAnsi="Arial" w:cs="Arial"/>
          <w:i/>
        </w:rPr>
        <w:t>(1) Al circuito derivado del sistema normal requerido en 517-19(a)</w:t>
      </w:r>
    </w:p>
    <w:p w:rsidR="00B571F1" w:rsidRPr="00A85F55" w:rsidRDefault="00B571F1" w:rsidP="00F35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A85F55">
        <w:rPr>
          <w:rFonts w:ascii="Arial" w:hAnsi="Arial" w:cs="Arial"/>
          <w:i/>
        </w:rPr>
        <w:t>(2) A un circuito derivado del sistema de emergencia alimentado por un desconectador de transferencia</w:t>
      </w:r>
      <w:r w:rsidR="00F35EF2" w:rsidRPr="00A85F55">
        <w:rPr>
          <w:rFonts w:ascii="Arial" w:hAnsi="Arial" w:cs="Arial"/>
          <w:i/>
        </w:rPr>
        <w:t xml:space="preserve"> </w:t>
      </w:r>
      <w:r w:rsidRPr="00A85F55">
        <w:rPr>
          <w:rFonts w:ascii="Arial" w:hAnsi="Arial" w:cs="Arial"/>
          <w:i/>
        </w:rPr>
        <w:t>diferente del de los otros contactos de la misma área.</w:t>
      </w:r>
    </w:p>
    <w:p w:rsidR="00B571F1" w:rsidRPr="00A85F55" w:rsidRDefault="00B571F1" w:rsidP="00F35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5F55">
        <w:rPr>
          <w:rFonts w:ascii="Arial" w:hAnsi="Arial" w:cs="Arial"/>
          <w:b/>
          <w:bCs/>
        </w:rPr>
        <w:t xml:space="preserve">2) Características de los contactos. </w:t>
      </w:r>
      <w:r w:rsidRPr="00A85F55">
        <w:rPr>
          <w:rFonts w:ascii="Arial" w:hAnsi="Arial" w:cs="Arial"/>
        </w:rPr>
        <w:t>Los contactos requeridos en 517-19(b)(1), pueden ser del tipo</w:t>
      </w:r>
      <w:r w:rsidR="00F35EF2" w:rsidRPr="00A85F55">
        <w:rPr>
          <w:rFonts w:ascii="Arial" w:hAnsi="Arial" w:cs="Arial"/>
        </w:rPr>
        <w:t xml:space="preserve"> </w:t>
      </w:r>
      <w:r w:rsidRPr="00A85F55">
        <w:rPr>
          <w:rFonts w:ascii="Arial" w:hAnsi="Arial" w:cs="Arial"/>
        </w:rPr>
        <w:t>sencillo, dúplex, cuádruplex o una combinación de ellos. Todos los contactos deben ser grado hospital y</w:t>
      </w:r>
      <w:r w:rsidR="00F35EF2" w:rsidRPr="00A85F55">
        <w:rPr>
          <w:rFonts w:ascii="Arial" w:hAnsi="Arial" w:cs="Arial"/>
        </w:rPr>
        <w:t xml:space="preserve"> </w:t>
      </w:r>
      <w:r w:rsidRPr="00A85F55">
        <w:rPr>
          <w:rFonts w:ascii="Arial" w:hAnsi="Arial" w:cs="Arial"/>
        </w:rPr>
        <w:t>deben estar así identificados; cada contacto debe contar con una conexión a un punto de puesta a tierra</w:t>
      </w:r>
      <w:r w:rsidR="00F35EF2" w:rsidRPr="00A85F55">
        <w:rPr>
          <w:rFonts w:ascii="Arial" w:hAnsi="Arial" w:cs="Arial"/>
        </w:rPr>
        <w:t xml:space="preserve"> </w:t>
      </w:r>
      <w:r w:rsidRPr="00A85F55">
        <w:rPr>
          <w:rFonts w:ascii="Arial" w:hAnsi="Arial" w:cs="Arial"/>
        </w:rPr>
        <w:t>dentro de la vecindad del paciente, por medio de un conductor de cobre con aislamiento de puesta a tierra de</w:t>
      </w:r>
      <w:r w:rsidR="00F35EF2" w:rsidRPr="00A85F55">
        <w:rPr>
          <w:rFonts w:ascii="Arial" w:hAnsi="Arial" w:cs="Arial"/>
        </w:rPr>
        <w:t xml:space="preserve"> </w:t>
      </w:r>
      <w:r w:rsidRPr="00A85F55">
        <w:rPr>
          <w:rFonts w:ascii="Arial" w:hAnsi="Arial" w:cs="Arial"/>
        </w:rPr>
        <w:t>equipo.</w:t>
      </w:r>
    </w:p>
    <w:p w:rsidR="00F1172E" w:rsidRPr="00A85F55" w:rsidRDefault="00B571F1" w:rsidP="00F35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5F55">
        <w:rPr>
          <w:rFonts w:ascii="Arial" w:hAnsi="Arial" w:cs="Arial"/>
          <w:b/>
          <w:bCs/>
        </w:rPr>
        <w:t xml:space="preserve">c) Puesta a tierra y puentes de unión en la vecindad del paciente. </w:t>
      </w:r>
      <w:r w:rsidRPr="00A85F55">
        <w:rPr>
          <w:rFonts w:ascii="Arial" w:hAnsi="Arial" w:cs="Arial"/>
        </w:rPr>
        <w:t>Dentro de la vecindad del paciente</w:t>
      </w:r>
      <w:r w:rsidR="00F35EF2" w:rsidRPr="00A85F55">
        <w:rPr>
          <w:rFonts w:ascii="Arial" w:hAnsi="Arial" w:cs="Arial"/>
        </w:rPr>
        <w:t xml:space="preserve"> </w:t>
      </w:r>
      <w:r w:rsidRPr="00A85F55">
        <w:rPr>
          <w:rFonts w:ascii="Arial" w:hAnsi="Arial" w:cs="Arial"/>
        </w:rPr>
        <w:t xml:space="preserve">se debe instalar un punto de puesta a tierra dotado de conectores aprobados </w:t>
      </w:r>
      <w:r w:rsidRPr="00A85F55">
        <w:rPr>
          <w:rFonts w:ascii="Arial" w:hAnsi="Arial" w:cs="Arial"/>
          <w:b/>
        </w:rPr>
        <w:t>para puesta a tierra redundante</w:t>
      </w:r>
      <w:r w:rsidR="00F35EF2" w:rsidRPr="00A85F55">
        <w:rPr>
          <w:rFonts w:ascii="Arial" w:hAnsi="Arial" w:cs="Arial"/>
        </w:rPr>
        <w:t xml:space="preserve"> </w:t>
      </w:r>
      <w:r w:rsidRPr="00A85F55">
        <w:rPr>
          <w:rFonts w:ascii="Arial" w:hAnsi="Arial" w:cs="Arial"/>
        </w:rPr>
        <w:t>de los equipos y dispositivos médicos, adicionalmente debe instalarse un puente de unión de tamaño nominal</w:t>
      </w:r>
      <w:r w:rsidR="00F35EF2" w:rsidRPr="00A85F55">
        <w:rPr>
          <w:rFonts w:ascii="Arial" w:hAnsi="Arial" w:cs="Arial"/>
        </w:rPr>
        <w:t xml:space="preserve"> </w:t>
      </w:r>
      <w:r w:rsidRPr="00A85F55">
        <w:rPr>
          <w:rFonts w:ascii="Arial" w:hAnsi="Arial" w:cs="Arial"/>
        </w:rPr>
        <w:t>no menor de 5.26 mm2 (10 AWG), para conectar la terminal de puesta a tierra de todos los contactos con</w:t>
      </w:r>
      <w:r w:rsidR="00F35EF2" w:rsidRPr="00A85F55">
        <w:rPr>
          <w:rFonts w:ascii="Arial" w:hAnsi="Arial" w:cs="Arial"/>
        </w:rPr>
        <w:t xml:space="preserve"> </w:t>
      </w:r>
      <w:r w:rsidRPr="00A85F55">
        <w:rPr>
          <w:rFonts w:ascii="Arial" w:hAnsi="Arial" w:cs="Arial"/>
        </w:rPr>
        <w:t>terminal de puesta a tierra, con ese punto de referencia a tierra en la vecindad del paciente. El conductor para</w:t>
      </w:r>
      <w:r w:rsidR="00F35EF2" w:rsidRPr="00A85F55">
        <w:rPr>
          <w:rFonts w:ascii="Arial" w:hAnsi="Arial" w:cs="Arial"/>
        </w:rPr>
        <w:t xml:space="preserve"> </w:t>
      </w:r>
      <w:r w:rsidRPr="00A85F55">
        <w:rPr>
          <w:rFonts w:ascii="Arial" w:hAnsi="Arial" w:cs="Arial"/>
        </w:rPr>
        <w:t xml:space="preserve">puesta a tierra </w:t>
      </w:r>
      <w:proofErr w:type="gramStart"/>
      <w:r w:rsidRPr="00A85F55">
        <w:rPr>
          <w:rFonts w:ascii="Arial" w:hAnsi="Arial" w:cs="Arial"/>
        </w:rPr>
        <w:t>mencionado,</w:t>
      </w:r>
      <w:proofErr w:type="gramEnd"/>
      <w:r w:rsidRPr="00A85F55">
        <w:rPr>
          <w:rFonts w:ascii="Arial" w:hAnsi="Arial" w:cs="Arial"/>
        </w:rPr>
        <w:t xml:space="preserve"> puede ser instalado en forma radial o en anillo, según convenga.</w:t>
      </w:r>
    </w:p>
    <w:p w:rsidR="00F35EF2" w:rsidRPr="00A85F55" w:rsidRDefault="00F35EF2" w:rsidP="00F35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35EF2" w:rsidRPr="00A85F55" w:rsidRDefault="00F35EF2" w:rsidP="00F35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85F55">
        <w:rPr>
          <w:rFonts w:ascii="Arial" w:hAnsi="Arial" w:cs="Arial"/>
          <w:b/>
          <w:bCs/>
        </w:rPr>
        <w:t>517-33. Circuito derivado crítico</w:t>
      </w:r>
    </w:p>
    <w:p w:rsidR="00F35EF2" w:rsidRPr="00A85F55" w:rsidRDefault="00F35EF2" w:rsidP="00F35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5F55">
        <w:rPr>
          <w:rFonts w:ascii="Arial" w:hAnsi="Arial" w:cs="Arial"/>
          <w:b/>
          <w:bCs/>
        </w:rPr>
        <w:t xml:space="preserve">a) Iluminación de áreas de trabajo y contactos seleccionados. </w:t>
      </w:r>
      <w:r w:rsidRPr="00A85F55">
        <w:rPr>
          <w:rFonts w:ascii="Arial" w:hAnsi="Arial" w:cs="Arial"/>
        </w:rPr>
        <w:t>El circuito derivado crítico del sistema de emergencia debe abastecer energía para el alumbrado del lugar de trabajo y para equipo fijo y circuitos especiales de alimentación y contactos seleccionados que sirvan a las siguientes áreas y tengan funciones relacionadas con la atención de pacientes:</w:t>
      </w:r>
    </w:p>
    <w:p w:rsidR="00F35EF2" w:rsidRPr="00A85F55" w:rsidRDefault="00F35EF2" w:rsidP="00F35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5F55">
        <w:rPr>
          <w:rFonts w:ascii="Arial" w:hAnsi="Arial" w:cs="Arial"/>
        </w:rPr>
        <w:t>(8) Alumbrado de áreas de trabajo, contactos y circuitos seleccionados en los siguientes casos:</w:t>
      </w:r>
    </w:p>
    <w:p w:rsidR="00F35EF2" w:rsidRPr="00A85F55" w:rsidRDefault="00F35EF2" w:rsidP="00F35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5F55">
        <w:rPr>
          <w:rFonts w:ascii="Arial" w:hAnsi="Arial" w:cs="Arial"/>
        </w:rPr>
        <w:lastRenderedPageBreak/>
        <w:t>a. Camas de atención general (al menos un contacto doble por cada cama de pacientes).</w:t>
      </w:r>
    </w:p>
    <w:p w:rsidR="00F35EF2" w:rsidRPr="00A85F55" w:rsidRDefault="00F35EF2" w:rsidP="00F35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5F55">
        <w:rPr>
          <w:rFonts w:ascii="Arial" w:hAnsi="Arial" w:cs="Arial"/>
        </w:rPr>
        <w:t>b. Salas de angiografía</w:t>
      </w:r>
    </w:p>
    <w:p w:rsidR="00F35EF2" w:rsidRPr="00A85F55" w:rsidRDefault="00F35EF2" w:rsidP="00F35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5F55">
        <w:rPr>
          <w:rFonts w:ascii="Arial" w:hAnsi="Arial" w:cs="Arial"/>
        </w:rPr>
        <w:t>c. Salas para cateterismo cardiaco.</w:t>
      </w:r>
    </w:p>
    <w:p w:rsidR="00F35EF2" w:rsidRPr="00A85F55" w:rsidRDefault="00F35EF2" w:rsidP="00F35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5F55">
        <w:rPr>
          <w:rFonts w:ascii="Arial" w:hAnsi="Arial" w:cs="Arial"/>
        </w:rPr>
        <w:t>d. Unidad de cuidados coronarios.</w:t>
      </w:r>
    </w:p>
    <w:p w:rsidR="00F35EF2" w:rsidRPr="00A85F55" w:rsidRDefault="00F35EF2" w:rsidP="00F35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85F55">
        <w:rPr>
          <w:rFonts w:ascii="Arial" w:hAnsi="Arial" w:cs="Arial"/>
          <w:b/>
        </w:rPr>
        <w:t>e. Áreas o salas de hemodiálisis.</w:t>
      </w:r>
    </w:p>
    <w:p w:rsidR="00F35EF2" w:rsidRPr="00A85F55" w:rsidRDefault="00F35EF2" w:rsidP="00F35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5F55">
        <w:rPr>
          <w:rFonts w:ascii="Arial" w:hAnsi="Arial" w:cs="Arial"/>
        </w:rPr>
        <w:t>f. Áreas de tratamientos en salas de urgencias (seleccionados).</w:t>
      </w:r>
    </w:p>
    <w:p w:rsidR="00F35EF2" w:rsidRPr="00A85F55" w:rsidRDefault="00F35EF2" w:rsidP="00F35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5F55">
        <w:rPr>
          <w:rFonts w:ascii="Arial" w:hAnsi="Arial" w:cs="Arial"/>
        </w:rPr>
        <w:t>g. Laboratorios clínicos.</w:t>
      </w:r>
    </w:p>
    <w:p w:rsidR="00F35EF2" w:rsidRPr="00A85F55" w:rsidRDefault="00F35EF2" w:rsidP="00F35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5F55">
        <w:rPr>
          <w:rFonts w:ascii="Arial" w:hAnsi="Arial" w:cs="Arial"/>
        </w:rPr>
        <w:t>h. Unidad de terapia intensiva.</w:t>
      </w:r>
    </w:p>
    <w:p w:rsidR="00F35EF2" w:rsidRPr="00A85F55" w:rsidRDefault="00F35EF2" w:rsidP="00F35E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5F55">
        <w:rPr>
          <w:rFonts w:ascii="Arial" w:hAnsi="Arial" w:cs="Arial"/>
        </w:rPr>
        <w:t>i. Salas de recuperación postoperatoria (seleccionados).</w:t>
      </w:r>
    </w:p>
    <w:p w:rsidR="009410E7" w:rsidRPr="00A85F55" w:rsidRDefault="007A7DBC" w:rsidP="00F70E35">
      <w:pPr>
        <w:rPr>
          <w:rFonts w:ascii="Arial" w:hAnsi="Arial" w:cs="Arial"/>
        </w:rPr>
      </w:pPr>
      <w:r w:rsidRPr="00A85F55">
        <w:rPr>
          <w:rFonts w:ascii="Arial" w:hAnsi="Arial" w:cs="Arial"/>
        </w:rPr>
        <w:t>FIGURA</w:t>
      </w:r>
    </w:p>
    <w:p w:rsidR="007A7DBC" w:rsidRPr="00A85F55" w:rsidRDefault="007A7DBC" w:rsidP="007A7DBC">
      <w:pPr>
        <w:jc w:val="both"/>
        <w:rPr>
          <w:rFonts w:ascii="Arial" w:hAnsi="Arial" w:cs="Arial"/>
          <w:color w:val="000000" w:themeColor="text1"/>
        </w:rPr>
      </w:pPr>
      <w:r w:rsidRPr="00A85F55">
        <w:rPr>
          <w:rFonts w:ascii="Arial" w:hAnsi="Arial" w:cs="Arial"/>
          <w:b/>
          <w:color w:val="FF0000"/>
        </w:rPr>
        <w:t>(A)</w:t>
      </w:r>
      <w:r w:rsidRPr="00A85F55">
        <w:rPr>
          <w:rFonts w:ascii="Arial" w:hAnsi="Arial" w:cs="Arial"/>
          <w:b/>
          <w:color w:val="000000" w:themeColor="text1"/>
        </w:rPr>
        <w:t>El conductor de conexión a tierra del equipo para receptáculos especiales</w:t>
      </w:r>
      <w:r w:rsidRPr="00A85F55">
        <w:rPr>
          <w:rFonts w:ascii="Arial" w:hAnsi="Arial" w:cs="Arial"/>
          <w:color w:val="000000" w:themeColor="text1"/>
        </w:rPr>
        <w:t xml:space="preserve"> (como el funcionamiento de equipos móviles de rayos X) se extenderá hasta la referencia del circuito de derivación</w:t>
      </w:r>
    </w:p>
    <w:p w:rsidR="002D19D3" w:rsidRPr="00A85F55" w:rsidRDefault="00B626E9" w:rsidP="00A85F55">
      <w:pPr>
        <w:jc w:val="both"/>
        <w:rPr>
          <w:rFonts w:ascii="Arial" w:hAnsi="Arial" w:cs="Arial"/>
          <w:color w:val="000000" w:themeColor="text1"/>
        </w:rPr>
      </w:pPr>
      <w:r w:rsidRPr="00A85F55">
        <w:rPr>
          <w:rFonts w:ascii="Arial" w:hAnsi="Arial" w:cs="Arial"/>
          <w:b/>
          <w:color w:val="FF0000"/>
        </w:rPr>
        <w:t>(B)</w:t>
      </w:r>
      <w:r w:rsidRPr="00A85F55">
        <w:rPr>
          <w:rFonts w:ascii="Arial" w:hAnsi="Arial" w:cs="Arial"/>
          <w:color w:val="000000" w:themeColor="text1"/>
        </w:rPr>
        <w:t>Los receptáculos pueden ser de tipo simple, dúplex o cuádruplex, o cualquier combinación de los tres 517-19 (b) (2)</w:t>
      </w:r>
    </w:p>
    <w:p w:rsidR="009410E7" w:rsidRDefault="009410E7" w:rsidP="00F70E35">
      <w:r>
        <w:rPr>
          <w:rFonts w:ascii="Times New Roman" w:hAnsi="Times New Roman" w:cs="Times New Roman"/>
          <w:noProof/>
          <w:color w:val="000000" w:themeColor="text1"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0F782A16" wp14:editId="0FF34B36">
            <wp:simplePos x="0" y="0"/>
            <wp:positionH relativeFrom="margin">
              <wp:posOffset>-635</wp:posOffset>
            </wp:positionH>
            <wp:positionV relativeFrom="paragraph">
              <wp:posOffset>1905</wp:posOffset>
            </wp:positionV>
            <wp:extent cx="5511800" cy="56007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1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51E" w:rsidRDefault="005F251E" w:rsidP="00A85F55">
      <w:pPr>
        <w:spacing w:after="0" w:line="240" w:lineRule="auto"/>
      </w:pPr>
      <w:r>
        <w:separator/>
      </w:r>
    </w:p>
  </w:endnote>
  <w:endnote w:type="continuationSeparator" w:id="0">
    <w:p w:rsidR="005F251E" w:rsidRDefault="005F251E" w:rsidP="00A8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51E" w:rsidRDefault="005F251E" w:rsidP="00A85F55">
      <w:pPr>
        <w:spacing w:after="0" w:line="240" w:lineRule="auto"/>
      </w:pPr>
      <w:r>
        <w:separator/>
      </w:r>
    </w:p>
  </w:footnote>
  <w:footnote w:type="continuationSeparator" w:id="0">
    <w:p w:rsidR="005F251E" w:rsidRDefault="005F251E" w:rsidP="00A85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2E"/>
    <w:rsid w:val="00081D10"/>
    <w:rsid w:val="00292200"/>
    <w:rsid w:val="002D19D3"/>
    <w:rsid w:val="00533252"/>
    <w:rsid w:val="005F251E"/>
    <w:rsid w:val="007A7DBC"/>
    <w:rsid w:val="009410E7"/>
    <w:rsid w:val="00A85F55"/>
    <w:rsid w:val="00B571F1"/>
    <w:rsid w:val="00B626E9"/>
    <w:rsid w:val="00F1172E"/>
    <w:rsid w:val="00F35EF2"/>
    <w:rsid w:val="00F7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1FECB-D654-4F13-908E-86385B3C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F55"/>
  </w:style>
  <w:style w:type="paragraph" w:styleId="Piedepgina">
    <w:name w:val="footer"/>
    <w:basedOn w:val="Normal"/>
    <w:link w:val="PiedepginaCar"/>
    <w:uiPriority w:val="99"/>
    <w:unhideWhenUsed/>
    <w:rsid w:val="00A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</cp:lastModifiedBy>
  <cp:revision>2</cp:revision>
  <dcterms:created xsi:type="dcterms:W3CDTF">2020-01-23T04:01:00Z</dcterms:created>
  <dcterms:modified xsi:type="dcterms:W3CDTF">2020-01-23T04:01:00Z</dcterms:modified>
</cp:coreProperties>
</file>